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yellow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进出口商品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机构资质认定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机构基本情况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u w:val="none"/>
          <w:lang w:val="en-US" w:eastAsia="zh-CN"/>
        </w:rPr>
        <w:t>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机构名称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（盖章）</w:t>
      </w: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地    址：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电子邮箱：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联系手机：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楷体_GBK" w:cs="方正楷体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方正楷体_GBK" w:cs="方正楷体_GBK"/>
          <w:sz w:val="32"/>
          <w:szCs w:val="32"/>
          <w:u w:val="none"/>
          <w:lang w:val="en-US" w:eastAsia="zh-CN"/>
        </w:rPr>
        <w:t>机构性质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一类事业单位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二类事业单位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    业：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中资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外商投资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中外合作、中外合资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    他：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u w:val="none"/>
          <w:lang w:val="en-US" w:eastAsia="zh-CN"/>
        </w:rPr>
        <w:t>（三）机构资质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进出口商品检验鉴定机构资格证书号：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21" w:firstLineChars="325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最初获证时间：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有效期至：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CMA证书号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最初获证时间：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CNAS证书号：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最初获证时间：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（四）业务开展情况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2021年承担进出口商品检验业务数量、检验种类、合同金额、委托方等情况：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是否因开展进出口商品检验工作被投诉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举报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或</w:t>
      </w: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信访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是否受过处罚，是否产生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过</w:t>
      </w:r>
      <w:r>
        <w:rPr>
          <w:rFonts w:hint="default" w:ascii="Times New Roman" w:hAnsi="Times New Roman" w:eastAsia="仿宋_GB2312" w:cs="仿宋_GB2312"/>
          <w:sz w:val="32"/>
          <w:szCs w:val="32"/>
          <w:u w:val="none"/>
          <w:lang w:val="en-US" w:eastAsia="zh-CN"/>
        </w:rPr>
        <w:t>民事纠纷、诉讼等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关于进出口商品检验机构许可制度改革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2021年6月3日，国务院发布《关于深化“证照分离”改革进一步激发市场主体发展活力的通知》（国发〔2021〕7号），决定自2021年7月1日起，实施涉企经营许可事项清单管理，取消了海关总署管理的“进出口商品检验鉴定业务的检验许可”，该项工作交市场监管总局统一管理，请问是否知晓此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是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根据国务院文件要求，我们起草了《进出口商品检验机构资质认定准入特别条件》（附件2），请对照该条件和《检验检测机构资质认定评审准则》进行自查，确定是否申请检验机构资质认定：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符合要求，继续申请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部分符合，整改后再申请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不符合要求，放弃申请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《进出口商品检验机构资质认定准入特别条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件》的意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见和建议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请对照现行的检验检测机构资质认定制度自查，在哪些方面达不到要求：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对《进出口商品检验机构资质认定准入特别条件》的意见和建议：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对照《检验机构资质认定能力附表》，请试填本机构拟申请的能力附表（详见附件3）。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474" w:bottom="1134" w:left="1474" w:header="851" w:footer="992" w:gutter="0"/>
      <w:cols w:space="720" w:num="1"/>
      <w:rtlGutter w:val="0"/>
      <w:docGrid w:type="linesAndChars" w:linePitch="31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AE03A"/>
    <w:multiLevelType w:val="singleLevel"/>
    <w:tmpl w:val="BECAE03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3CEA42"/>
    <w:multiLevelType w:val="singleLevel"/>
    <w:tmpl w:val="BF3CEA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AB74C69"/>
    <w:multiLevelType w:val="singleLevel"/>
    <w:tmpl w:val="FAB74C69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FFFF6764"/>
    <w:multiLevelType w:val="singleLevel"/>
    <w:tmpl w:val="FFFF6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726A423"/>
    <w:multiLevelType w:val="singleLevel"/>
    <w:tmpl w:val="2726A423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3EB8D005"/>
    <w:multiLevelType w:val="singleLevel"/>
    <w:tmpl w:val="3EB8D005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hyphenationZone w:val="360"/>
  <w:drawingGridHorizontalSpacing w:val="102"/>
  <w:drawingGridVerticalSpacing w:val="155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5022"/>
    <w:rsid w:val="1A9C1B16"/>
    <w:rsid w:val="1DBF3061"/>
    <w:rsid w:val="2DBEDDA7"/>
    <w:rsid w:val="3B5FD4CA"/>
    <w:rsid w:val="3EAB0813"/>
    <w:rsid w:val="43DE0648"/>
    <w:rsid w:val="4EEE6630"/>
    <w:rsid w:val="500F0A46"/>
    <w:rsid w:val="672A0444"/>
    <w:rsid w:val="6E1EC913"/>
    <w:rsid w:val="729FAD61"/>
    <w:rsid w:val="7BFB2F65"/>
    <w:rsid w:val="7CDD4EF7"/>
    <w:rsid w:val="7EF57CBA"/>
    <w:rsid w:val="7F724FBD"/>
    <w:rsid w:val="7FFF47D6"/>
    <w:rsid w:val="DFDBDE13"/>
    <w:rsid w:val="ECFF5409"/>
    <w:rsid w:val="FFC2F77C"/>
    <w:rsid w:val="FFFF0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oa</cp:lastModifiedBy>
  <cp:lastPrinted>2022-03-24T00:18:00Z</cp:lastPrinted>
  <dcterms:modified xsi:type="dcterms:W3CDTF">2022-03-23T16:24:10Z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