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E4A15">
      <w:pPr>
        <w:pStyle w:val="2"/>
        <w:spacing w:line="254" w:lineRule="auto"/>
      </w:pPr>
    </w:p>
    <w:p w14:paraId="08ECED03">
      <w:pPr>
        <w:pStyle w:val="2"/>
        <w:spacing w:line="254" w:lineRule="auto"/>
      </w:pPr>
    </w:p>
    <w:p w14:paraId="044D366E">
      <w:pPr>
        <w:pStyle w:val="2"/>
        <w:spacing w:line="254" w:lineRule="auto"/>
      </w:pPr>
    </w:p>
    <w:p w14:paraId="212DBF21">
      <w:pPr>
        <w:pStyle w:val="2"/>
        <w:spacing w:line="254" w:lineRule="auto"/>
      </w:pPr>
    </w:p>
    <w:p w14:paraId="730A0C0F">
      <w:pPr>
        <w:pStyle w:val="2"/>
        <w:spacing w:line="255" w:lineRule="auto"/>
      </w:pPr>
    </w:p>
    <w:p w14:paraId="637D88B1">
      <w:pPr>
        <w:spacing w:before="140" w:line="223" w:lineRule="auto"/>
        <w:ind w:left="912"/>
        <w:outlineLvl w:val="0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  <w:lang w:eastAsia="zh-CN"/>
        </w:rPr>
        <w:t>中国出入境检验检疫协会团体标准</w:t>
      </w:r>
    </w:p>
    <w:p w14:paraId="61F1E835">
      <w:pPr>
        <w:pStyle w:val="2"/>
        <w:spacing w:line="243" w:lineRule="auto"/>
        <w:rPr>
          <w:lang w:eastAsia="zh-CN"/>
        </w:rPr>
      </w:pPr>
    </w:p>
    <w:p w14:paraId="18662767">
      <w:pPr>
        <w:pStyle w:val="2"/>
        <w:spacing w:line="244" w:lineRule="auto"/>
        <w:rPr>
          <w:lang w:eastAsia="zh-CN"/>
        </w:rPr>
      </w:pPr>
    </w:p>
    <w:p w14:paraId="22024E58">
      <w:pPr>
        <w:pStyle w:val="2"/>
        <w:spacing w:line="244" w:lineRule="auto"/>
        <w:rPr>
          <w:lang w:eastAsia="zh-CN"/>
        </w:rPr>
      </w:pPr>
    </w:p>
    <w:p w14:paraId="4D845B16">
      <w:pPr>
        <w:spacing w:before="169" w:line="284" w:lineRule="auto"/>
        <w:ind w:left="2893" w:right="253" w:hanging="2619"/>
        <w:outlineLvl w:val="0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pacing w:val="-6"/>
          <w:sz w:val="52"/>
          <w:szCs w:val="52"/>
          <w:lang w:eastAsia="zh-CN"/>
        </w:rPr>
        <w:t>散装化学石膏  适运水分的测定  流盘实验法</w:t>
      </w:r>
      <w:r>
        <w:rPr>
          <w:rFonts w:ascii="宋体" w:hAnsi="宋体" w:eastAsia="宋体" w:cs="宋体"/>
          <w:b/>
          <w:bCs/>
          <w:spacing w:val="-14"/>
          <w:sz w:val="52"/>
          <w:szCs w:val="52"/>
          <w:lang w:eastAsia="zh-CN"/>
        </w:rPr>
        <w:t>》</w:t>
      </w:r>
    </w:p>
    <w:p w14:paraId="69A74204">
      <w:pPr>
        <w:spacing w:before="207" w:line="220" w:lineRule="auto"/>
        <w:ind w:left="358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（送审稿）</w:t>
      </w:r>
    </w:p>
    <w:p w14:paraId="509C8A4A">
      <w:pPr>
        <w:pStyle w:val="2"/>
        <w:spacing w:line="244" w:lineRule="auto"/>
        <w:rPr>
          <w:lang w:eastAsia="zh-CN"/>
        </w:rPr>
      </w:pPr>
    </w:p>
    <w:p w14:paraId="207215DF">
      <w:pPr>
        <w:pStyle w:val="2"/>
        <w:spacing w:line="244" w:lineRule="auto"/>
        <w:rPr>
          <w:lang w:eastAsia="zh-CN"/>
        </w:rPr>
      </w:pPr>
    </w:p>
    <w:p w14:paraId="53BDCF72">
      <w:pPr>
        <w:pStyle w:val="2"/>
        <w:spacing w:line="244" w:lineRule="auto"/>
        <w:rPr>
          <w:lang w:eastAsia="zh-CN"/>
        </w:rPr>
      </w:pPr>
    </w:p>
    <w:p w14:paraId="33CC3489">
      <w:pPr>
        <w:pStyle w:val="2"/>
        <w:spacing w:line="244" w:lineRule="auto"/>
        <w:rPr>
          <w:lang w:eastAsia="zh-CN"/>
        </w:rPr>
      </w:pPr>
    </w:p>
    <w:p w14:paraId="3C0849BB">
      <w:pPr>
        <w:pStyle w:val="2"/>
        <w:spacing w:line="245" w:lineRule="auto"/>
        <w:rPr>
          <w:lang w:eastAsia="zh-CN"/>
        </w:rPr>
      </w:pPr>
    </w:p>
    <w:p w14:paraId="25015C3C">
      <w:pPr>
        <w:pStyle w:val="2"/>
        <w:spacing w:line="245" w:lineRule="auto"/>
        <w:rPr>
          <w:lang w:eastAsia="zh-CN"/>
        </w:rPr>
      </w:pPr>
    </w:p>
    <w:p w14:paraId="403C2058">
      <w:pPr>
        <w:pStyle w:val="2"/>
        <w:spacing w:line="245" w:lineRule="auto"/>
        <w:rPr>
          <w:lang w:eastAsia="zh-CN"/>
        </w:rPr>
      </w:pPr>
    </w:p>
    <w:p w14:paraId="5DB1B2CC">
      <w:pPr>
        <w:pStyle w:val="2"/>
        <w:spacing w:line="245" w:lineRule="auto"/>
        <w:rPr>
          <w:lang w:eastAsia="zh-CN"/>
        </w:rPr>
      </w:pPr>
    </w:p>
    <w:p w14:paraId="05252C5B">
      <w:pPr>
        <w:pStyle w:val="2"/>
        <w:spacing w:line="245" w:lineRule="auto"/>
        <w:rPr>
          <w:lang w:eastAsia="zh-CN"/>
        </w:rPr>
      </w:pPr>
    </w:p>
    <w:p w14:paraId="7E235647">
      <w:pPr>
        <w:pStyle w:val="2"/>
        <w:spacing w:line="245" w:lineRule="auto"/>
        <w:rPr>
          <w:lang w:eastAsia="zh-CN"/>
        </w:rPr>
      </w:pPr>
    </w:p>
    <w:p w14:paraId="2CB1DCFA">
      <w:pPr>
        <w:pStyle w:val="2"/>
        <w:spacing w:line="245" w:lineRule="auto"/>
        <w:rPr>
          <w:lang w:eastAsia="zh-CN"/>
        </w:rPr>
      </w:pPr>
    </w:p>
    <w:p w14:paraId="3E772DF9">
      <w:pPr>
        <w:pStyle w:val="2"/>
        <w:spacing w:line="245" w:lineRule="auto"/>
        <w:rPr>
          <w:lang w:eastAsia="zh-CN"/>
        </w:rPr>
      </w:pPr>
    </w:p>
    <w:p w14:paraId="7D2B8A69">
      <w:pPr>
        <w:spacing w:before="169" w:line="220" w:lineRule="auto"/>
        <w:ind w:left="3147"/>
        <w:outlineLvl w:val="1"/>
        <w:rPr>
          <w:rFonts w:hint="eastAsia" w:ascii="宋体" w:hAnsi="宋体" w:eastAsia="宋体" w:cs="宋体"/>
          <w:sz w:val="52"/>
          <w:szCs w:val="52"/>
          <w:lang w:eastAsia="zh-CN"/>
        </w:rPr>
      </w:pPr>
      <w:r>
        <w:rPr>
          <w:rFonts w:ascii="宋体" w:hAnsi="宋体" w:eastAsia="宋体" w:cs="宋体"/>
          <w:b/>
          <w:bCs/>
          <w:spacing w:val="-10"/>
          <w:sz w:val="52"/>
          <w:szCs w:val="52"/>
          <w:lang w:eastAsia="zh-CN"/>
        </w:rPr>
        <w:t>编制说明</w:t>
      </w:r>
    </w:p>
    <w:p w14:paraId="0A69E000">
      <w:pPr>
        <w:pStyle w:val="2"/>
        <w:spacing w:line="244" w:lineRule="auto"/>
        <w:rPr>
          <w:lang w:eastAsia="zh-CN"/>
        </w:rPr>
      </w:pPr>
    </w:p>
    <w:p w14:paraId="1AC30B3C">
      <w:pPr>
        <w:pStyle w:val="2"/>
        <w:spacing w:line="244" w:lineRule="auto"/>
        <w:rPr>
          <w:lang w:eastAsia="zh-CN"/>
        </w:rPr>
      </w:pPr>
    </w:p>
    <w:p w14:paraId="4792CF38">
      <w:pPr>
        <w:pStyle w:val="2"/>
        <w:spacing w:line="244" w:lineRule="auto"/>
        <w:rPr>
          <w:lang w:eastAsia="zh-CN"/>
        </w:rPr>
      </w:pPr>
    </w:p>
    <w:p w14:paraId="662469B0">
      <w:pPr>
        <w:pStyle w:val="2"/>
        <w:spacing w:line="244" w:lineRule="auto"/>
        <w:rPr>
          <w:lang w:eastAsia="zh-CN"/>
        </w:rPr>
      </w:pPr>
    </w:p>
    <w:p w14:paraId="1DF776AE">
      <w:pPr>
        <w:pStyle w:val="2"/>
        <w:spacing w:line="244" w:lineRule="auto"/>
        <w:rPr>
          <w:lang w:eastAsia="zh-CN"/>
        </w:rPr>
      </w:pPr>
    </w:p>
    <w:p w14:paraId="3990C0B6">
      <w:pPr>
        <w:pStyle w:val="2"/>
        <w:spacing w:line="244" w:lineRule="auto"/>
        <w:rPr>
          <w:lang w:eastAsia="zh-CN"/>
        </w:rPr>
      </w:pPr>
    </w:p>
    <w:p w14:paraId="013DD53F">
      <w:pPr>
        <w:pStyle w:val="2"/>
        <w:spacing w:line="244" w:lineRule="auto"/>
        <w:rPr>
          <w:lang w:eastAsia="zh-CN"/>
        </w:rPr>
      </w:pPr>
    </w:p>
    <w:p w14:paraId="3C2A7E2B">
      <w:pPr>
        <w:pStyle w:val="2"/>
        <w:spacing w:line="244" w:lineRule="auto"/>
        <w:rPr>
          <w:lang w:eastAsia="zh-CN"/>
        </w:rPr>
      </w:pPr>
    </w:p>
    <w:p w14:paraId="45371EE0">
      <w:pPr>
        <w:pStyle w:val="2"/>
        <w:spacing w:line="244" w:lineRule="auto"/>
        <w:rPr>
          <w:lang w:eastAsia="zh-CN"/>
        </w:rPr>
      </w:pPr>
    </w:p>
    <w:p w14:paraId="6EA841DA">
      <w:pPr>
        <w:pStyle w:val="2"/>
        <w:spacing w:line="244" w:lineRule="auto"/>
        <w:rPr>
          <w:lang w:eastAsia="zh-CN"/>
        </w:rPr>
      </w:pPr>
    </w:p>
    <w:p w14:paraId="47F3372A">
      <w:pPr>
        <w:pStyle w:val="2"/>
        <w:spacing w:line="245" w:lineRule="auto"/>
        <w:rPr>
          <w:lang w:eastAsia="zh-CN"/>
        </w:rPr>
      </w:pPr>
    </w:p>
    <w:p w14:paraId="5898208C">
      <w:pPr>
        <w:pStyle w:val="2"/>
        <w:spacing w:line="245" w:lineRule="auto"/>
        <w:rPr>
          <w:lang w:eastAsia="zh-CN"/>
        </w:rPr>
      </w:pPr>
    </w:p>
    <w:p w14:paraId="5F256FFA">
      <w:pPr>
        <w:spacing w:before="97" w:line="220" w:lineRule="auto"/>
        <w:ind w:left="3277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标准起草小组</w:t>
      </w:r>
    </w:p>
    <w:p w14:paraId="3A45B0D9">
      <w:pPr>
        <w:spacing w:before="295" w:line="220" w:lineRule="auto"/>
        <w:ind w:left="2937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二</w:t>
      </w:r>
      <w:r>
        <w:rPr>
          <w:rFonts w:ascii="宋体" w:hAnsi="宋体" w:eastAsia="宋体" w:cs="宋体"/>
          <w:spacing w:val="-62"/>
          <w:sz w:val="30"/>
          <w:szCs w:val="30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30"/>
          <w:szCs w:val="30"/>
          <w:lang w:eastAsia="zh-CN"/>
        </w:rPr>
        <w:t>O</w:t>
      </w: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spacing w:val="-5"/>
          <w:sz w:val="30"/>
          <w:szCs w:val="30"/>
          <w:lang w:eastAsia="zh-CN"/>
        </w:rPr>
        <w:t>四</w:t>
      </w:r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年十月</w:t>
      </w:r>
    </w:p>
    <w:p w14:paraId="2CB988D0">
      <w:pPr>
        <w:spacing w:line="220" w:lineRule="auto"/>
        <w:rPr>
          <w:rFonts w:hint="eastAsia" w:ascii="宋体" w:hAnsi="宋体" w:eastAsia="宋体" w:cs="宋体"/>
          <w:sz w:val="30"/>
          <w:szCs w:val="30"/>
          <w:lang w:eastAsia="zh-CN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8D59E53">
      <w:pPr>
        <w:pStyle w:val="2"/>
        <w:spacing w:line="411" w:lineRule="auto"/>
        <w:rPr>
          <w:lang w:eastAsia="zh-CN"/>
        </w:rPr>
      </w:pPr>
    </w:p>
    <w:sdt>
      <w:sdtPr>
        <w:rPr>
          <w:rFonts w:ascii="宋体" w:hAnsi="宋体" w:eastAsia="宋体" w:cs="宋体"/>
          <w:sz w:val="30"/>
          <w:szCs w:val="30"/>
        </w:rPr>
        <w:id w:val="147481721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4"/>
          <w:szCs w:val="24"/>
        </w:rPr>
      </w:sdtEndPr>
      <w:sdtContent>
        <w:p w14:paraId="76279996">
          <w:pPr>
            <w:spacing w:before="98" w:line="222" w:lineRule="auto"/>
            <w:ind w:left="4176"/>
            <w:rPr>
              <w:rFonts w:hint="eastAsia" w:ascii="宋体" w:hAnsi="宋体" w:eastAsia="宋体" w:cs="宋体"/>
              <w:sz w:val="30"/>
              <w:szCs w:val="30"/>
              <w:lang w:eastAsia="zh-CN"/>
            </w:rPr>
          </w:pPr>
          <w:r>
            <w:rPr>
              <w:rFonts w:ascii="宋体" w:hAnsi="宋体" w:eastAsia="宋体" w:cs="宋体"/>
              <w:b/>
              <w:bCs/>
              <w:spacing w:val="-20"/>
              <w:sz w:val="30"/>
              <w:szCs w:val="30"/>
              <w:lang w:eastAsia="zh-CN"/>
            </w:rPr>
            <w:t>目录</w:t>
          </w:r>
        </w:p>
        <w:p w14:paraId="683BFB9D">
          <w:pPr>
            <w:tabs>
              <w:tab w:val="right" w:leader="dot" w:pos="8312"/>
            </w:tabs>
            <w:spacing w:before="156" w:line="185" w:lineRule="auto"/>
            <w:ind w:left="27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4"/>
              <w:sz w:val="24"/>
              <w:szCs w:val="24"/>
              <w:lang w:eastAsia="zh-CN"/>
            </w:rPr>
            <w:t>一、工作简况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1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60309412">
          <w:pPr>
            <w:tabs>
              <w:tab w:val="right" w:leader="dot" w:pos="8312"/>
            </w:tabs>
            <w:spacing w:before="85" w:line="185" w:lineRule="auto"/>
            <w:ind w:left="27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  <w:lang w:eastAsia="zh-CN"/>
            </w:rPr>
            <w:t>二、标准编制原则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t>3</w:t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fldChar w:fldCharType="end"/>
          </w:r>
        </w:p>
        <w:p w14:paraId="42AD4ECE">
          <w:pPr>
            <w:tabs>
              <w:tab w:val="right" w:leader="dot" w:pos="8312"/>
            </w:tabs>
            <w:spacing w:before="85" w:line="185" w:lineRule="auto"/>
            <w:ind w:left="23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三、标准核心技术内容及应用情况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4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0DB50DA1">
          <w:pPr>
            <w:tabs>
              <w:tab w:val="right" w:leader="dot" w:pos="8312"/>
            </w:tabs>
            <w:spacing w:before="86" w:line="185" w:lineRule="auto"/>
            <w:ind w:left="504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  <w:lang w:eastAsia="zh-CN"/>
            </w:rPr>
            <w:t xml:space="preserve">3.1 </w:t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标准制定的适用范围和核心技术内容要点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4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75D89654">
          <w:pPr>
            <w:tabs>
              <w:tab w:val="right" w:leader="dot" w:pos="8312"/>
            </w:tabs>
            <w:spacing w:before="86" w:line="185" w:lineRule="auto"/>
            <w:ind w:left="504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  <w:lang w:eastAsia="zh-CN"/>
            </w:rPr>
            <w:t xml:space="preserve">3.2 </w:t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主要条文说明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t>4</w:t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fldChar w:fldCharType="end"/>
          </w:r>
        </w:p>
        <w:p w14:paraId="110C013D">
          <w:pPr>
            <w:tabs>
              <w:tab w:val="right" w:leader="dot" w:pos="8312"/>
            </w:tabs>
            <w:spacing w:before="86" w:line="185" w:lineRule="auto"/>
            <w:ind w:left="504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Times New Roman" w:hAnsi="Times New Roman" w:eastAsia="Times New Roman" w:cs="Times New Roman"/>
              <w:spacing w:val="-1"/>
              <w:sz w:val="24"/>
              <w:szCs w:val="24"/>
              <w:lang w:eastAsia="zh-CN"/>
            </w:rPr>
            <w:t xml:space="preserve">3.3 </w:t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标准应用情况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t>5</w:t>
          </w:r>
          <w:r>
            <w:rPr>
              <w:rFonts w:ascii="Times New Roman" w:hAnsi="Times New Roman" w:eastAsia="Times New Roman" w:cs="Times New Roman"/>
              <w:spacing w:val="16"/>
              <w:sz w:val="24"/>
              <w:szCs w:val="24"/>
              <w:lang w:eastAsia="zh-CN"/>
            </w:rPr>
            <w:fldChar w:fldCharType="end"/>
          </w:r>
        </w:p>
        <w:p w14:paraId="14984A38">
          <w:pPr>
            <w:tabs>
              <w:tab w:val="right" w:leader="dot" w:pos="8312"/>
            </w:tabs>
            <w:spacing w:before="83" w:line="185" w:lineRule="auto"/>
            <w:ind w:left="46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3"/>
              <w:sz w:val="24"/>
              <w:szCs w:val="24"/>
              <w:lang w:eastAsia="zh-CN"/>
            </w:rPr>
            <w:t>四、标准中涉及专利的情况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3163FDA4">
          <w:pPr>
            <w:tabs>
              <w:tab w:val="right" w:leader="dot" w:pos="8312"/>
            </w:tabs>
            <w:spacing w:before="86" w:line="185" w:lineRule="auto"/>
            <w:ind w:left="27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五、采用国际标准和国外先进标准的情况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6406585D">
          <w:pPr>
            <w:tabs>
              <w:tab w:val="right" w:leader="dot" w:pos="8312"/>
            </w:tabs>
            <w:spacing w:before="86" w:line="185" w:lineRule="auto"/>
            <w:ind w:left="25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六、与现行法律、法规、强制性国家标准及相关标准的关系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6278D52E">
          <w:pPr>
            <w:tabs>
              <w:tab w:val="right" w:leader="dot" w:pos="8312"/>
            </w:tabs>
            <w:spacing w:before="86" w:line="185" w:lineRule="auto"/>
            <w:ind w:left="22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七、重大分歧意见的处理和依据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5097270B">
          <w:pPr>
            <w:tabs>
              <w:tab w:val="right" w:leader="dot" w:pos="8312"/>
            </w:tabs>
            <w:spacing w:before="86" w:line="185" w:lineRule="auto"/>
            <w:ind w:left="27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4"/>
              <w:szCs w:val="24"/>
              <w:lang w:eastAsia="zh-CN"/>
            </w:rPr>
            <w:t>八、贯彻标准的要求和措施建议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51C1A8F6">
          <w:pPr>
            <w:tabs>
              <w:tab w:val="right" w:leader="dot" w:pos="8312"/>
            </w:tabs>
            <w:spacing w:before="86" w:line="185" w:lineRule="auto"/>
            <w:ind w:left="29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  <w:lang w:eastAsia="zh-CN"/>
            </w:rPr>
            <w:t>九、其他应予说明的事项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  <w:p w14:paraId="0D7BC8A7">
          <w:pPr>
            <w:tabs>
              <w:tab w:val="right" w:leader="dot" w:pos="8312"/>
            </w:tabs>
            <w:spacing w:before="85" w:line="220" w:lineRule="auto"/>
            <w:ind w:left="24"/>
            <w:rPr>
              <w:rFonts w:ascii="Times New Roman" w:hAnsi="Times New Roman" w:eastAsia="Times New Roman" w:cs="Times New Roman"/>
              <w:sz w:val="24"/>
              <w:szCs w:val="24"/>
              <w:lang w:eastAsia="zh-CN"/>
            </w:rPr>
          </w:pPr>
          <w:r>
            <w:fldChar w:fldCharType="begin"/>
          </w:r>
          <w:r>
            <w:rPr>
              <w:lang w:eastAsia="zh-CN"/>
            </w:rPr>
            <w:instrText xml:space="preserve"> HYPERLINK \l "bookmark26"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2"/>
              <w:sz w:val="24"/>
              <w:szCs w:val="24"/>
              <w:lang w:eastAsia="zh-CN"/>
            </w:rPr>
            <w:t>十、预期效果</w:t>
          </w:r>
          <w:r>
            <w:rPr>
              <w:rFonts w:ascii="宋体" w:hAnsi="宋体" w:eastAsia="宋体" w:cs="宋体"/>
              <w:sz w:val="24"/>
              <w:szCs w:val="24"/>
              <w:lang w:eastAsia="zh-CN"/>
            </w:rPr>
            <w:tab/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t>6</w:t>
          </w:r>
          <w:r>
            <w:rPr>
              <w:rFonts w:ascii="Times New Roman" w:hAnsi="Times New Roman" w:eastAsia="Times New Roman" w:cs="Times New Roman"/>
              <w:spacing w:val="17"/>
              <w:sz w:val="24"/>
              <w:szCs w:val="24"/>
              <w:lang w:eastAsia="zh-CN"/>
            </w:rPr>
            <w:fldChar w:fldCharType="end"/>
          </w:r>
        </w:p>
      </w:sdtContent>
    </w:sdt>
    <w:p w14:paraId="68817AC0">
      <w:pPr>
        <w:spacing w:line="220" w:lineRule="auto"/>
        <w:rPr>
          <w:rFonts w:ascii="Times New Roman" w:hAnsi="Times New Roman" w:eastAsia="Times New Roman" w:cs="Times New Roman"/>
          <w:sz w:val="24"/>
          <w:szCs w:val="24"/>
          <w:lang w:eastAsia="zh-CN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405AECB6">
      <w:pPr>
        <w:spacing w:before="252" w:line="219" w:lineRule="auto"/>
        <w:ind w:left="31"/>
        <w:outlineLvl w:val="0"/>
        <w:rPr>
          <w:rFonts w:hint="eastAsia" w:ascii="宋体" w:hAnsi="宋体" w:eastAsia="宋体" w:cs="宋体"/>
          <w:sz w:val="30"/>
          <w:szCs w:val="30"/>
          <w:lang w:eastAsia="zh-CN"/>
        </w:rPr>
      </w:pPr>
      <w:bookmarkStart w:id="0" w:name="bookmark1"/>
      <w:bookmarkEnd w:id="0"/>
      <w:bookmarkStart w:id="1" w:name="bookmark2"/>
      <w:bookmarkEnd w:id="1"/>
      <w:r>
        <w:rPr>
          <w:rFonts w:ascii="宋体" w:hAnsi="宋体" w:eastAsia="宋体" w:cs="宋体"/>
          <w:b/>
          <w:bCs/>
          <w:spacing w:val="-5"/>
          <w:sz w:val="30"/>
          <w:szCs w:val="30"/>
          <w:lang w:eastAsia="zh-CN"/>
        </w:rPr>
        <w:t>一、工作简况</w:t>
      </w:r>
    </w:p>
    <w:p w14:paraId="7B37D92E">
      <w:pPr>
        <w:spacing w:before="310" w:line="220" w:lineRule="auto"/>
        <w:ind w:left="42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pacing w:val="-5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pacing w:val="-5"/>
          <w:sz w:val="24"/>
          <w:szCs w:val="24"/>
          <w:highlight w:val="none"/>
          <w:lang w:eastAsia="zh-CN"/>
        </w:rPr>
        <w:t>立项目的和意义</w:t>
      </w:r>
    </w:p>
    <w:p w14:paraId="2893BC76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随着我国经济的不断发展，船舶运输已经成为不可或缺的一部分，大宗散货中的A组固体散装货物水路运输量也在持续增长，由于装卸和运输方面有关安全管理措施不到位，沉船事故时有发生，亟待加强A组固体散装货物水路运输安全管理。同时，2011 年国际海事组织制定的《海运固体散装货物规则》开始生效。随后，交通运输部制定了《水路运输易流态化固体散装货物安全管理规定》，2019 年 3 月 1 日交通运输部颁布实施了《海运固体散货安全监督管理规定》，更加明确了海运固体散货相关技术和管理标准要求。</w:t>
      </w:r>
    </w:p>
    <w:p w14:paraId="46B1D35B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目前，A组固体散装货物的分组及极限适运水分的检测，主要参考《国际海运固体散装货物规则》即IMSBC规则，该规则对常见货物的分组、特性、危险性等运输事项进行详细的描述，并且在附录中对流动点水分及含水率的测试程序、使用的仪器和标准。</w:t>
      </w:r>
    </w:p>
    <w:p w14:paraId="2F0637C1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除了铁矿粉等少数产品已有专门的国标/行业标准，其他货物均未颁布对应的检测标准，因此，立项建立团体标准尤为重要，能有效弥补当前的空缺。</w:t>
      </w:r>
    </w:p>
    <w:p w14:paraId="6841C9BA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石膏广泛用于建筑、建材、工业模具和艺术模具、化学工业及农业、食品加工和医药美容等众多领域，是一种重要的工业原材料。</w:t>
      </w:r>
    </w:p>
    <w:p w14:paraId="55E8A4D3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鉴于当前国内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散装化学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石膏适运水分极限的标准尚属空白状态，亟需出台《散装化学石膏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适运水分的测定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流盘实验法》标准。制定《散装化学石膏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适运水分的测定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流盘实验法》标准有助于保证化学石膏的安全运输，保持石膏行业的生产、贸易、流通，可以为散装石膏货物的安全运输提供技术支持和标准保障，因此《散装化学石膏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适运水分的测定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流盘实验法》对于石膏行业的运输、发展具有十分重要的意义。</w:t>
      </w:r>
    </w:p>
    <w:p w14:paraId="59081841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中理检验有限公司作为集港口理货、检验、检测于一体的国有第三方公证人，依托遍布国内沿江沿海的86家分支机构和专业的检验鉴定技能，安排检验人员全天候、全过程地对船舶装载货物进行检验。基于中理检验有限公司及下属子公司，是专业的第三方检测公司，为货物的装载、检验检测等提供服务，一站式解决客户需求，拥有一批具有丰富理论及实践经验的专家队伍。 </w:t>
      </w:r>
    </w:p>
    <w:p w14:paraId="26975B25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防城港海事局是交通运输部直属广西海事局分支海事管理机构，监管要素齐全，是全国为数不多的同时监管沿海、内河和界海、界河的海事管理机构。贯彻和执行国家水上交通安全、航海保障、环境保护等方面的法律、法规和规章。履行防城港市海上搜救中心办公室职责，组织协调防城港辖区海（水）上突发事件应急处置工作。该局致力于构建科学化、标准化、智能化的海事监管服务体系，以实现对水上交通安全高效、精准的监管，促进水上交通运输事业可持续健康发展。</w:t>
      </w:r>
    </w:p>
    <w:p w14:paraId="179052A4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广西北部湾外轮理货有限公司，隶属于广西北部湾国际港务集团，是一家专业化港口物流服务商。公司专注于船舶及集装箱的国内外理货服务，包括货物计量、丈量，监装监卸，货损箱损检验鉴定等，并出具权威理货单证与报告，提供理货咨询服务。公司凭借丰富经验与专业技能，积极推动行业检测标准立项，旨在提升服务质量，引领行业发展。</w:t>
      </w:r>
    </w:p>
    <w:p w14:paraId="16BF19E6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中理检验有限公司、防城港海事局、广西北部湾外轮理货有限公司特向协会申请立项，共同组织起草《散装化学石膏  适运水分的测定  流盘实验法》并上升为团体标准。该标准主要对适用于公称粒度 ≤ 7 mm的化学石膏、磷石膏适运水分限量的测定。</w:t>
      </w:r>
    </w:p>
    <w:p w14:paraId="3C51487F">
      <w:pPr>
        <w:spacing w:before="35" w:line="372" w:lineRule="auto"/>
        <w:ind w:left="122" w:right="114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55715F8">
      <w:pPr>
        <w:spacing w:before="31" w:line="220" w:lineRule="auto"/>
        <w:ind w:left="117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任务来源</w:t>
      </w:r>
    </w:p>
    <w:p w14:paraId="48F278CD">
      <w:pPr>
        <w:spacing w:before="205" w:line="368" w:lineRule="auto"/>
        <w:ind w:left="122" w:right="112" w:firstLine="47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3"/>
          <w:sz w:val="24"/>
          <w:szCs w:val="24"/>
          <w:highlight w:val="none"/>
          <w:lang w:eastAsia="zh-CN"/>
        </w:rPr>
        <w:t>根据《中国出入境检验检疫协会关于批准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highlight w:val="none"/>
          <w:lang w:eastAsia="zh-CN"/>
        </w:rPr>
        <w:t>&lt;</w:t>
      </w:r>
      <w:r>
        <w:rPr>
          <w:rFonts w:hint="eastAsia" w:ascii="宋体" w:hAnsi="宋体" w:eastAsia="宋体" w:cs="宋体"/>
          <w:spacing w:val="3"/>
          <w:sz w:val="24"/>
          <w:szCs w:val="24"/>
          <w:highlight w:val="none"/>
          <w:lang w:eastAsia="zh-CN"/>
        </w:rPr>
        <w:t>散装化学石膏适运水分的测定流盘实验法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highlight w:val="none"/>
          <w:lang w:eastAsia="zh-CN"/>
        </w:rPr>
        <w:t>&gt;</w:t>
      </w:r>
      <w:r>
        <w:rPr>
          <w:rFonts w:hint="eastAsia" w:ascii="Times New Roman" w:hAnsi="Times New Roman" w:eastAsia="Times New Roman" w:cs="Times New Roman"/>
          <w:spacing w:val="3"/>
          <w:sz w:val="24"/>
          <w:szCs w:val="24"/>
          <w:highlight w:val="none"/>
          <w:lang w:eastAsia="zh-CN"/>
        </w:rPr>
        <w:t>等2项团体标准立项的通知</w:t>
      </w:r>
      <w:r>
        <w:rPr>
          <w:rFonts w:ascii="宋体" w:hAnsi="宋体" w:eastAsia="宋体" w:cs="宋体"/>
          <w:spacing w:val="1"/>
          <w:sz w:val="24"/>
          <w:szCs w:val="24"/>
          <w:highlight w:val="none"/>
          <w:lang w:eastAsia="zh-CN"/>
        </w:rPr>
        <w:t>》（中检协标</w:t>
      </w:r>
      <w:r>
        <w:rPr>
          <w:rFonts w:hint="eastAsia" w:ascii="宋体" w:hAnsi="宋体" w:eastAsia="宋体" w:cs="宋体"/>
          <w:spacing w:val="1"/>
          <w:sz w:val="24"/>
          <w:szCs w:val="24"/>
          <w:highlight w:val="none"/>
          <w:lang w:val="en-US" w:eastAsia="zh-CN"/>
        </w:rPr>
        <w:t>[</w:t>
      </w:r>
      <w:r>
        <w:rPr>
          <w:rFonts w:ascii="Times New Roman" w:hAnsi="Times New Roman" w:eastAsia="Times New Roman" w:cs="Times New Roman"/>
          <w:spacing w:val="1"/>
          <w:sz w:val="24"/>
          <w:szCs w:val="24"/>
          <w:highlight w:val="none"/>
          <w:lang w:eastAsia="zh-CN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zh-CN"/>
        </w:rPr>
        <w:t>02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1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>号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:lang w:eastAsia="zh-CN"/>
        </w:rPr>
        <w:t>），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散装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化学石膏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 xml:space="preserve"> 适运水分的测定 流盘实验法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 xml:space="preserve">》（立项编号： 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P/CIQA-188-2024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）团体标准于</w:t>
      </w:r>
      <w:r>
        <w:rPr>
          <w:rFonts w:ascii="宋体" w:hAnsi="宋体" w:eastAsia="宋体" w:cs="宋体"/>
          <w:spacing w:val="-55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highlight w:val="none"/>
          <w:lang w:eastAsia="zh-CN"/>
        </w:rPr>
        <w:t>4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年</w:t>
      </w:r>
      <w:r>
        <w:rPr>
          <w:rFonts w:ascii="宋体" w:hAnsi="宋体" w:eastAsia="宋体" w:cs="宋体"/>
          <w:spacing w:val="-51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highlight w:val="none"/>
          <w:lang w:eastAsia="zh-CN"/>
        </w:rPr>
        <w:t>5</w:t>
      </w:r>
      <w:r>
        <w:rPr>
          <w:rFonts w:ascii="宋体" w:hAnsi="宋体" w:eastAsia="宋体" w:cs="宋体"/>
          <w:spacing w:val="-5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spacing w:val="-41"/>
          <w:sz w:val="24"/>
          <w:szCs w:val="24"/>
          <w:highlight w:val="none"/>
          <w:lang w:val="en-US" w:eastAsia="zh-CN"/>
        </w:rPr>
        <w:t>20</w:t>
      </w:r>
      <w:r>
        <w:rPr>
          <w:rFonts w:ascii="宋体" w:hAnsi="宋体" w:eastAsia="宋体" w:cs="宋体"/>
          <w:spacing w:val="-5"/>
          <w:sz w:val="24"/>
          <w:szCs w:val="24"/>
          <w:highlight w:val="none"/>
          <w:lang w:eastAsia="zh-CN"/>
        </w:rPr>
        <w:t>日由中国出入境检验检疫协会标准化委员会批准立项，该标准牵头单位是</w:t>
      </w:r>
      <w:r>
        <w:rPr>
          <w:rFonts w:hint="eastAsia" w:ascii="宋体" w:hAnsi="宋体" w:eastAsia="宋体" w:cs="宋体"/>
          <w:spacing w:val="-5"/>
          <w:sz w:val="24"/>
          <w:szCs w:val="24"/>
          <w:highlight w:val="none"/>
          <w:lang w:eastAsia="zh-CN"/>
        </w:rPr>
        <w:t>中理检验有限公司</w:t>
      </w: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，归口单位是中国出入境检验检疫协会。</w:t>
      </w:r>
    </w:p>
    <w:p w14:paraId="191122AC">
      <w:pPr>
        <w:spacing w:before="53" w:line="220" w:lineRule="auto"/>
        <w:ind w:left="122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标准起草组单位和任务分工</w:t>
      </w:r>
    </w:p>
    <w:p w14:paraId="416BDDED">
      <w:pPr>
        <w:spacing w:before="203" w:line="328" w:lineRule="auto"/>
        <w:ind w:left="117" w:right="29" w:firstLine="479"/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pacing w:val="-8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spacing w:val="-8"/>
          <w:sz w:val="24"/>
          <w:szCs w:val="24"/>
          <w:highlight w:val="none"/>
          <w:lang w:eastAsia="zh-CN"/>
        </w:rPr>
        <w:t>4</w:t>
      </w:r>
      <w:r>
        <w:rPr>
          <w:rFonts w:ascii="宋体" w:hAnsi="宋体" w:eastAsia="宋体" w:cs="宋体"/>
          <w:spacing w:val="-8"/>
          <w:sz w:val="24"/>
          <w:szCs w:val="24"/>
          <w:highlight w:val="none"/>
          <w:lang w:eastAsia="zh-CN"/>
        </w:rPr>
        <w:t>年</w:t>
      </w:r>
      <w:r>
        <w:rPr>
          <w:rFonts w:ascii="宋体" w:hAnsi="宋体" w:eastAsia="宋体" w:cs="宋体"/>
          <w:spacing w:val="-46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highlight w:val="none"/>
          <w:lang w:eastAsia="zh-CN"/>
        </w:rPr>
        <w:t>2-9</w:t>
      </w:r>
      <w:r>
        <w:rPr>
          <w:rFonts w:ascii="宋体" w:hAnsi="宋体" w:eastAsia="宋体" w:cs="宋体"/>
          <w:spacing w:val="-8"/>
          <w:sz w:val="24"/>
          <w:szCs w:val="24"/>
          <w:highlight w:val="none"/>
          <w:lang w:eastAsia="zh-CN"/>
        </w:rPr>
        <w:t>月，对检验检测机构进行调研，为标准立项提供有力的数据支撑。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  <w:lang w:eastAsia="zh-CN"/>
        </w:rPr>
        <w:t>202</w:t>
      </w:r>
      <w:r>
        <w:rPr>
          <w:rFonts w:hint="eastAsia" w:ascii="Times New Roman" w:hAnsi="Times New Roman" w:cs="Times New Roman" w:eastAsiaTheme="minorEastAsia"/>
          <w:spacing w:val="-4"/>
          <w:sz w:val="24"/>
          <w:szCs w:val="24"/>
          <w:highlight w:val="none"/>
          <w:lang w:eastAsia="zh-CN"/>
        </w:rPr>
        <w:t>4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年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highlight w:val="none"/>
          <w:lang w:eastAsia="zh-CN"/>
        </w:rPr>
        <w:t>10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月成立标准起草小组，具体情况如下：</w:t>
      </w:r>
    </w:p>
    <w:p w14:paraId="193CF246">
      <w:pPr>
        <w:spacing w:before="203" w:line="328" w:lineRule="auto"/>
        <w:ind w:left="117" w:right="29" w:firstLine="479"/>
        <w:rPr>
          <w:rFonts w:hint="eastAsia" w:ascii="宋体" w:hAnsi="宋体" w:eastAsia="宋体" w:cs="宋体"/>
          <w:spacing w:val="-4"/>
          <w:sz w:val="24"/>
          <w:szCs w:val="24"/>
          <w:highlight w:val="none"/>
          <w:lang w:eastAsia="zh-CN"/>
        </w:rPr>
      </w:pPr>
    </w:p>
    <w:p w14:paraId="431492E0">
      <w:pPr>
        <w:spacing w:before="203" w:line="328" w:lineRule="auto"/>
        <w:ind w:left="117" w:right="29" w:firstLine="47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tbl>
      <w:tblPr>
        <w:tblStyle w:val="7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3361"/>
        <w:gridCol w:w="4306"/>
      </w:tblGrid>
      <w:tr w14:paraId="66F43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61" w:type="dxa"/>
          </w:tcPr>
          <w:p w14:paraId="622DA4D6">
            <w:pPr>
              <w:spacing w:before="144" w:line="222" w:lineRule="auto"/>
              <w:ind w:left="235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highlight w:val="none"/>
              </w:rPr>
              <w:t>序号</w:t>
            </w:r>
          </w:p>
        </w:tc>
        <w:tc>
          <w:tcPr>
            <w:tcW w:w="3361" w:type="dxa"/>
          </w:tcPr>
          <w:p w14:paraId="0C199A7C">
            <w:pPr>
              <w:spacing w:before="145" w:line="221" w:lineRule="auto"/>
              <w:ind w:left="1325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highlight w:val="none"/>
              </w:rPr>
              <w:t>单位名称</w:t>
            </w:r>
          </w:p>
        </w:tc>
        <w:tc>
          <w:tcPr>
            <w:tcW w:w="4306" w:type="dxa"/>
          </w:tcPr>
          <w:p w14:paraId="4D483A5F">
            <w:pPr>
              <w:spacing w:before="144" w:line="221" w:lineRule="auto"/>
              <w:ind w:left="1795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highlight w:val="none"/>
              </w:rPr>
              <w:t>任务分工</w:t>
            </w:r>
          </w:p>
        </w:tc>
      </w:tr>
      <w:tr w14:paraId="59F9C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</w:trPr>
        <w:tc>
          <w:tcPr>
            <w:tcW w:w="861" w:type="dxa"/>
          </w:tcPr>
          <w:p w14:paraId="422C9A4E">
            <w:pPr>
              <w:spacing w:line="298" w:lineRule="auto"/>
              <w:rPr>
                <w:highlight w:val="none"/>
              </w:rPr>
            </w:pPr>
          </w:p>
          <w:p w14:paraId="44286FD0">
            <w:pPr>
              <w:spacing w:line="299" w:lineRule="auto"/>
              <w:rPr>
                <w:highlight w:val="none"/>
              </w:rPr>
            </w:pPr>
          </w:p>
          <w:p w14:paraId="5E56515B">
            <w:pPr>
              <w:pStyle w:val="8"/>
              <w:spacing w:before="68" w:line="183" w:lineRule="auto"/>
              <w:ind w:left="397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1</w:t>
            </w:r>
          </w:p>
        </w:tc>
        <w:tc>
          <w:tcPr>
            <w:tcW w:w="3361" w:type="dxa"/>
          </w:tcPr>
          <w:p w14:paraId="307C053F">
            <w:pPr>
              <w:spacing w:line="281" w:lineRule="auto"/>
              <w:rPr>
                <w:highlight w:val="none"/>
              </w:rPr>
            </w:pPr>
          </w:p>
          <w:p w14:paraId="20E21F06">
            <w:pPr>
              <w:spacing w:line="282" w:lineRule="auto"/>
              <w:rPr>
                <w:highlight w:val="none"/>
              </w:rPr>
            </w:pPr>
          </w:p>
          <w:p w14:paraId="1DCCFA8E">
            <w:pPr>
              <w:pStyle w:val="8"/>
              <w:spacing w:before="68" w:line="221" w:lineRule="auto"/>
              <w:ind w:left="116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spacing w:val="-2"/>
                <w:highlight w:val="none"/>
                <w:lang w:eastAsia="zh-CN"/>
              </w:rPr>
              <w:t>中理检验有限公司</w:t>
            </w:r>
          </w:p>
        </w:tc>
        <w:tc>
          <w:tcPr>
            <w:tcW w:w="4306" w:type="dxa"/>
          </w:tcPr>
          <w:p w14:paraId="5BB4D71A">
            <w:pPr>
              <w:pStyle w:val="8"/>
              <w:spacing w:before="144" w:line="220" w:lineRule="auto"/>
              <w:ind w:left="115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>牵头单位</w:t>
            </w:r>
          </w:p>
          <w:p w14:paraId="43ACDF28">
            <w:pPr>
              <w:pStyle w:val="8"/>
              <w:spacing w:before="239" w:line="365" w:lineRule="auto"/>
              <w:ind w:left="114" w:right="109"/>
              <w:rPr>
                <w:rFonts w:hint="eastAsia"/>
                <w:highlight w:val="none"/>
                <w:lang w:eastAsia="zh-CN"/>
              </w:rPr>
            </w:pPr>
            <w:r>
              <w:rPr>
                <w:spacing w:val="4"/>
                <w:highlight w:val="none"/>
                <w:lang w:eastAsia="zh-CN"/>
              </w:rPr>
              <w:t>标准编写、信息收集和整理、技术指导和建</w:t>
            </w:r>
            <w:r>
              <w:rPr>
                <w:spacing w:val="-1"/>
                <w:highlight w:val="none"/>
                <w:lang w:eastAsia="zh-CN"/>
              </w:rPr>
              <w:t>议、组织协调、项目调研</w:t>
            </w:r>
          </w:p>
        </w:tc>
      </w:tr>
      <w:tr w14:paraId="3D44A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61" w:type="dxa"/>
          </w:tcPr>
          <w:p w14:paraId="5F0BB815">
            <w:pPr>
              <w:pStyle w:val="8"/>
              <w:spacing w:before="178" w:line="182" w:lineRule="auto"/>
              <w:ind w:left="384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2</w:t>
            </w:r>
          </w:p>
        </w:tc>
        <w:tc>
          <w:tcPr>
            <w:tcW w:w="3361" w:type="dxa"/>
          </w:tcPr>
          <w:p w14:paraId="5FA1E434">
            <w:pPr>
              <w:pStyle w:val="8"/>
              <w:spacing w:before="143" w:line="220" w:lineRule="auto"/>
              <w:ind w:left="113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防城港海事局</w:t>
            </w:r>
          </w:p>
        </w:tc>
        <w:tc>
          <w:tcPr>
            <w:tcW w:w="4306" w:type="dxa"/>
          </w:tcPr>
          <w:p w14:paraId="60BC9247">
            <w:pPr>
              <w:pStyle w:val="8"/>
              <w:spacing w:before="143" w:line="221" w:lineRule="auto"/>
              <w:ind w:left="114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标准编写、技术建议、项目调研、需求分析</w:t>
            </w:r>
          </w:p>
        </w:tc>
      </w:tr>
      <w:tr w14:paraId="4ED22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61" w:type="dxa"/>
          </w:tcPr>
          <w:p w14:paraId="0D41736B">
            <w:pPr>
              <w:pStyle w:val="8"/>
              <w:spacing w:before="176" w:line="182" w:lineRule="auto"/>
              <w:ind w:left="386"/>
              <w:rPr>
                <w:rFonts w:hint="eastAsia"/>
                <w:highlight w:val="none"/>
              </w:rPr>
            </w:pPr>
            <w:r>
              <w:rPr>
                <w:highlight w:val="none"/>
              </w:rPr>
              <w:t>3</w:t>
            </w:r>
          </w:p>
        </w:tc>
        <w:tc>
          <w:tcPr>
            <w:tcW w:w="3361" w:type="dxa"/>
          </w:tcPr>
          <w:p w14:paraId="22F58466">
            <w:pPr>
              <w:pStyle w:val="8"/>
              <w:spacing w:before="140" w:line="221" w:lineRule="auto"/>
              <w:ind w:left="111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spacing w:val="-1"/>
                <w:highlight w:val="none"/>
                <w:lang w:eastAsia="zh-CN"/>
              </w:rPr>
              <w:t>广西北部湾外轮理货有限公司</w:t>
            </w:r>
          </w:p>
        </w:tc>
        <w:tc>
          <w:tcPr>
            <w:tcW w:w="4306" w:type="dxa"/>
          </w:tcPr>
          <w:p w14:paraId="3FE4FD32">
            <w:pPr>
              <w:pStyle w:val="8"/>
              <w:spacing w:before="140" w:line="221" w:lineRule="auto"/>
              <w:ind w:left="114"/>
              <w:rPr>
                <w:rFonts w:hint="eastAsia"/>
                <w:highlight w:val="none"/>
                <w:lang w:eastAsia="zh-CN"/>
              </w:rPr>
            </w:pPr>
            <w:r>
              <w:rPr>
                <w:spacing w:val="-1"/>
                <w:highlight w:val="none"/>
                <w:lang w:eastAsia="zh-CN"/>
              </w:rPr>
              <w:t>标准编写、技术建议、项目调研、需求分析</w:t>
            </w:r>
          </w:p>
        </w:tc>
      </w:tr>
    </w:tbl>
    <w:p w14:paraId="701DB72D">
      <w:pPr>
        <w:spacing w:before="126" w:line="361" w:lineRule="auto"/>
        <w:ind w:left="154" w:right="29" w:firstLine="448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8"/>
          <w:sz w:val="24"/>
          <w:szCs w:val="24"/>
          <w:highlight w:val="none"/>
          <w:lang w:eastAsia="zh-CN"/>
        </w:rPr>
        <w:t>标准主要起草人：</w:t>
      </w:r>
      <w:r>
        <w:rPr>
          <w:rFonts w:hint="eastAsia" w:ascii="宋体" w:hAnsi="宋体" w:eastAsia="宋体" w:cs="宋体"/>
          <w:spacing w:val="-8"/>
          <w:sz w:val="24"/>
          <w:szCs w:val="24"/>
          <w:highlight w:val="none"/>
          <w:lang w:eastAsia="zh-CN"/>
        </w:rPr>
        <w:t>周超权、吴艳芳、陈昱方、钟贤知、祁昆源、刘入豪、黄家就、陈伟强、苏鋆、吴东强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。</w:t>
      </w:r>
    </w:p>
    <w:p w14:paraId="3F092086">
      <w:pPr>
        <w:spacing w:before="155" w:line="220" w:lineRule="auto"/>
        <w:ind w:left="129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2" w:name="bookmark4"/>
      <w:bookmarkEnd w:id="2"/>
      <w:bookmarkStart w:id="3" w:name="bookmark3"/>
      <w:bookmarkEnd w:id="3"/>
      <w:r>
        <w:rPr>
          <w:rFonts w:ascii="宋体" w:hAnsi="宋体" w:eastAsia="宋体" w:cs="宋体"/>
          <w:b/>
          <w:bCs/>
          <w:spacing w:val="-5"/>
          <w:sz w:val="30"/>
          <w:szCs w:val="30"/>
          <w:highlight w:val="none"/>
          <w:lang w:eastAsia="zh-CN"/>
        </w:rPr>
        <w:t>二、标准编制原则</w:t>
      </w:r>
    </w:p>
    <w:p w14:paraId="5C31932A">
      <w:pPr>
        <w:spacing w:before="309" w:line="219" w:lineRule="auto"/>
        <w:ind w:left="603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本标准起草过程遵循以下原则。</w:t>
      </w:r>
    </w:p>
    <w:p w14:paraId="74E78DF8">
      <w:pPr>
        <w:spacing w:before="206" w:line="324" w:lineRule="auto"/>
        <w:ind w:left="121" w:right="30" w:firstLine="49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 xml:space="preserve">规范性。本标准是根据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zh-CN"/>
        </w:rPr>
        <w:t>GB/T</w:t>
      </w:r>
      <w:r>
        <w:rPr>
          <w:rFonts w:hint="eastAsia" w:ascii="Times New Roman" w:hAnsi="Times New Roman" w:eastAsia="Times New Roman" w:cs="Times New Roman"/>
          <w:spacing w:val="-3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zh-CN"/>
        </w:rPr>
        <w:t>1.1-2020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《标准化工作导则</w:t>
      </w:r>
      <w:r>
        <w:rPr>
          <w:rFonts w:ascii="宋体" w:hAnsi="宋体" w:eastAsia="宋体" w:cs="宋体"/>
          <w:spacing w:val="48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第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zh-CN"/>
        </w:rPr>
        <w:t>1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部分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highlight w:val="none"/>
          <w:lang w:eastAsia="zh-CN"/>
        </w:rPr>
        <w:t>: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标</w:t>
      </w: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准化文件的结构和起草规则》、《中国出入境检验检疫协会团体标准管理办法》及其实施细则的要求进行格式和结构编写，以确保制定的团体标准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的规范性。</w:t>
      </w:r>
    </w:p>
    <w:p w14:paraId="723E4985">
      <w:pPr>
        <w:spacing w:before="201" w:line="337" w:lineRule="auto"/>
        <w:ind w:left="121" w:right="114" w:firstLine="476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>实用性。标准必须是可用的，才有实际意义，本文件在编写过程中结合</w:t>
      </w:r>
      <w:r>
        <w:rPr>
          <w:rFonts w:ascii="宋体" w:hAnsi="宋体" w:eastAsia="宋体" w:cs="宋体"/>
          <w:spacing w:val="16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6"/>
          <w:sz w:val="24"/>
          <w:szCs w:val="24"/>
          <w:highlight w:val="none"/>
          <w:lang w:val="en-US" w:eastAsia="zh-CN"/>
        </w:rPr>
        <w:t>化学石膏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易流态化货物装载的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实际情况，提出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流动点水分检测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方法和步骤，保证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本标准的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实用性和可</w:t>
      </w:r>
      <w:r>
        <w:rPr>
          <w:rFonts w:ascii="宋体" w:hAnsi="宋体" w:eastAsia="宋体" w:cs="宋体"/>
          <w:spacing w:val="-9"/>
          <w:sz w:val="24"/>
          <w:szCs w:val="24"/>
          <w:highlight w:val="none"/>
          <w:lang w:eastAsia="zh-CN"/>
        </w:rPr>
        <w:t>操作性。</w:t>
      </w:r>
    </w:p>
    <w:p w14:paraId="5A9758D8">
      <w:pPr>
        <w:spacing w:before="205" w:line="337" w:lineRule="auto"/>
        <w:ind w:left="121" w:right="55" w:firstLine="481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.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>兼容性。在标准制定过程中，保持与国家有关的法律法规和政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策规定等的一致性，参考借鉴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国际海运固体散装货物规则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的方法和规范，研究学习相关</w:t>
      </w: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的国家标准和团体标准，确保本文件内容符合我国已经发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布的有关法律、法规、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:lang w:eastAsia="zh-CN"/>
        </w:rPr>
        <w:t>政策和标准。</w:t>
      </w:r>
    </w:p>
    <w:p w14:paraId="262ECD42">
      <w:pPr>
        <w:spacing w:line="337" w:lineRule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sectPr>
          <w:footerReference r:id="rId3" w:type="default"/>
          <w:pgSz w:w="11907" w:h="16839"/>
          <w:pgMar w:top="1431" w:right="1685" w:bottom="1358" w:left="1687" w:header="0" w:footer="1197" w:gutter="0"/>
          <w:cols w:space="720" w:num="1"/>
        </w:sectPr>
      </w:pPr>
    </w:p>
    <w:p w14:paraId="365A1018">
      <w:pPr>
        <w:spacing w:before="252" w:line="220" w:lineRule="auto"/>
        <w:ind w:left="26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4" w:name="bookmark8"/>
      <w:bookmarkEnd w:id="4"/>
      <w:bookmarkStart w:id="5" w:name="bookmark5"/>
      <w:bookmarkEnd w:id="5"/>
      <w:bookmarkStart w:id="6" w:name="bookmark6"/>
      <w:bookmarkEnd w:id="6"/>
      <w:r>
        <w:rPr>
          <w:rFonts w:ascii="宋体" w:hAnsi="宋体" w:eastAsia="宋体" w:cs="宋体"/>
          <w:b/>
          <w:bCs/>
          <w:spacing w:val="-3"/>
          <w:sz w:val="30"/>
          <w:szCs w:val="30"/>
          <w:highlight w:val="none"/>
          <w:lang w:eastAsia="zh-CN"/>
        </w:rPr>
        <w:t>三、标准核心技术内容及应用情况</w:t>
      </w:r>
    </w:p>
    <w:p w14:paraId="3828470E">
      <w:pPr>
        <w:pStyle w:val="2"/>
        <w:spacing w:line="277" w:lineRule="auto"/>
        <w:rPr>
          <w:highlight w:val="none"/>
          <w:lang w:eastAsia="zh-CN"/>
        </w:rPr>
      </w:pPr>
    </w:p>
    <w:p w14:paraId="7C3AB1DC">
      <w:pPr>
        <w:spacing w:before="91" w:line="220" w:lineRule="auto"/>
        <w:ind w:left="19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bookmarkStart w:id="7" w:name="bookmark7"/>
      <w:bookmarkEnd w:id="7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  <w:lang w:eastAsia="zh-CN"/>
        </w:rPr>
        <w:t xml:space="preserve">3.1 </w:t>
      </w:r>
      <w:r>
        <w:rPr>
          <w:rFonts w:ascii="宋体" w:hAnsi="宋体" w:eastAsia="宋体" w:cs="宋体"/>
          <w:b/>
          <w:bCs/>
          <w:spacing w:val="-2"/>
          <w:sz w:val="28"/>
          <w:szCs w:val="28"/>
          <w:highlight w:val="none"/>
          <w:lang w:eastAsia="zh-CN"/>
        </w:rPr>
        <w:t>标准制定的适用范围和核心技术内容要点</w:t>
      </w:r>
    </w:p>
    <w:p w14:paraId="72C63397">
      <w:pPr>
        <w:spacing w:before="205" w:line="363" w:lineRule="auto"/>
        <w:ind w:left="25" w:firstLine="478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8"/>
          <w:sz w:val="24"/>
          <w:szCs w:val="24"/>
          <w:highlight w:val="none"/>
          <w:lang w:eastAsia="zh-CN"/>
        </w:rPr>
        <w:t>本标准规定了散装化学石膏适运水分极限的术语和定义、原理、仪器设备、试样的制备、测试过程及计算等内容。</w:t>
      </w:r>
    </w:p>
    <w:p w14:paraId="38B60CA3">
      <w:pPr>
        <w:spacing w:before="94" w:line="220" w:lineRule="auto"/>
        <w:ind w:left="19"/>
        <w:outlineLvl w:val="1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bookmarkStart w:id="8" w:name="bookmark10"/>
      <w:bookmarkEnd w:id="8"/>
      <w:bookmarkStart w:id="9" w:name="bookmark9"/>
      <w:bookmarkEnd w:id="9"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  <w:lang w:eastAsia="zh-CN"/>
        </w:rPr>
        <w:t xml:space="preserve">3.2 </w:t>
      </w:r>
      <w:r>
        <w:rPr>
          <w:rFonts w:ascii="宋体" w:hAnsi="宋体" w:eastAsia="宋体" w:cs="宋体"/>
          <w:b/>
          <w:bCs/>
          <w:spacing w:val="-2"/>
          <w:sz w:val="28"/>
          <w:szCs w:val="28"/>
          <w:highlight w:val="none"/>
          <w:lang w:eastAsia="zh-CN"/>
        </w:rPr>
        <w:t>主要条文说明</w:t>
      </w:r>
    </w:p>
    <w:p w14:paraId="3B0F8888">
      <w:pPr>
        <w:spacing w:before="258" w:line="219" w:lineRule="auto"/>
        <w:ind w:right="1"/>
        <w:jc w:val="center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6"/>
          <w:sz w:val="24"/>
          <w:szCs w:val="24"/>
          <w:highlight w:val="none"/>
          <w:lang w:eastAsia="zh-CN"/>
        </w:rPr>
        <w:t xml:space="preserve">  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:lang w:eastAsia="zh-CN"/>
        </w:rPr>
        <w:t>本标准一共分为</w:t>
      </w:r>
      <w:r>
        <w:rPr>
          <w:rFonts w:ascii="宋体" w:hAnsi="宋体" w:eastAsia="宋体" w:cs="宋体"/>
          <w:spacing w:val="-31"/>
          <w:sz w:val="24"/>
          <w:szCs w:val="24"/>
          <w:highlight w:val="none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highlight w:val="none"/>
          <w:lang w:eastAsia="zh-CN"/>
        </w:rPr>
        <w:t>11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:lang w:eastAsia="zh-CN"/>
        </w:rPr>
        <w:t>章，从第</w:t>
      </w:r>
      <w:r>
        <w:rPr>
          <w:rFonts w:ascii="宋体" w:hAnsi="宋体" w:eastAsia="宋体" w:cs="宋体"/>
          <w:spacing w:val="-56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Times New Roman" w:hAnsi="Times New Roman" w:eastAsia="宋体" w:cs="Times New Roman"/>
          <w:spacing w:val="-6"/>
          <w:sz w:val="24"/>
          <w:szCs w:val="24"/>
          <w:highlight w:val="none"/>
          <w:lang w:eastAsia="zh-CN"/>
        </w:rPr>
        <w:t>6</w:t>
      </w:r>
      <w:r>
        <w:rPr>
          <w:rFonts w:ascii="宋体" w:hAnsi="宋体" w:eastAsia="宋体" w:cs="宋体"/>
          <w:spacing w:val="-6"/>
          <w:sz w:val="24"/>
          <w:szCs w:val="24"/>
          <w:highlight w:val="none"/>
          <w:lang w:eastAsia="zh-CN"/>
        </w:rPr>
        <w:t>章开始进入标准的核心条文。下</w:t>
      </w:r>
      <w:r>
        <w:rPr>
          <w:rFonts w:ascii="宋体" w:hAnsi="宋体" w:eastAsia="宋体" w:cs="宋体"/>
          <w:spacing w:val="-7"/>
          <w:sz w:val="24"/>
          <w:szCs w:val="24"/>
          <w:highlight w:val="none"/>
          <w:lang w:eastAsia="zh-CN"/>
        </w:rPr>
        <w:t>面分别说明。</w:t>
      </w:r>
    </w:p>
    <w:p w14:paraId="5DF58F8A">
      <w:pPr>
        <w:spacing w:before="204" w:line="367" w:lineRule="auto"/>
        <w:ind w:left="25" w:right="25" w:firstLine="478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6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章，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试样的准备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，主要从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试样的准备、制作子样、装填及捣实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环节进行了描述，使得标准使用者对标</w:t>
      </w:r>
      <w:r>
        <w:rPr>
          <w:rFonts w:ascii="宋体" w:hAnsi="宋体" w:eastAsia="宋体" w:cs="宋体"/>
          <w:spacing w:val="-5"/>
          <w:sz w:val="24"/>
          <w:szCs w:val="24"/>
          <w:highlight w:val="none"/>
          <w:lang w:eastAsia="zh-CN"/>
        </w:rPr>
        <w:t>准有个总体上的了解。</w:t>
      </w:r>
    </w:p>
    <w:p w14:paraId="30907B93">
      <w:pPr>
        <w:spacing w:before="35" w:line="363" w:lineRule="auto"/>
        <w:ind w:left="19" w:right="83" w:firstLine="484"/>
        <w:rPr>
          <w:highlight w:val="none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第</w:t>
      </w:r>
      <w:r>
        <w:rPr>
          <w:rFonts w:hint="eastAsia" w:ascii="宋体" w:hAnsi="宋体" w:eastAsia="宋体" w:cs="宋体"/>
          <w:spacing w:val="-24"/>
          <w:sz w:val="24"/>
          <w:szCs w:val="24"/>
          <w:highlight w:val="none"/>
          <w:lang w:eastAsia="zh-CN"/>
        </w:rPr>
        <w:t>7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章，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流动水分点的预备试验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流动水分点的预备试验是确定货物适运水分极限（TML）的重要步骤，主要用于评估货物在特定含水量下的流动性。本章通过样品装填、震动测试及流态点识别判断的描述，以及明确样品预测试的过程。</w:t>
      </w:r>
    </w:p>
    <w:p w14:paraId="31E17318">
      <w:pPr>
        <w:spacing w:before="35" w:line="363" w:lineRule="auto"/>
        <w:ind w:left="19" w:right="83" w:firstLine="484"/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第8章，流动水分点的主试验，流动水分点的主试验是基于6-7章预试验的基础上，根据预试验的结果调整样品的水分含量后进行的正式测试，旨在准确确定样品的水分含量达到流动水分点（FMP）时的具体水分含量。</w:t>
      </w:r>
    </w:p>
    <w:p w14:paraId="31093E81">
      <w:pPr>
        <w:spacing w:before="35" w:line="363" w:lineRule="auto"/>
        <w:ind w:left="19" w:right="83" w:firstLine="484"/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第9-10章为流动水分点及适运水分极限的计算过程。第11章为重复性，附录A为测试设备说明。</w:t>
      </w:r>
      <w:bookmarkStart w:id="10" w:name="bookmark12"/>
      <w:bookmarkEnd w:id="10"/>
      <w:bookmarkStart w:id="11" w:name="bookmark11"/>
      <w:bookmarkEnd w:id="11"/>
    </w:p>
    <w:p w14:paraId="4AAFAC16">
      <w:pPr>
        <w:spacing w:before="35" w:line="363" w:lineRule="auto"/>
        <w:ind w:left="19" w:right="83" w:firstLine="484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highlight w:val="none"/>
          <w:lang w:eastAsia="zh-CN"/>
        </w:rPr>
        <w:t xml:space="preserve">3.3 </w:t>
      </w:r>
      <w:r>
        <w:rPr>
          <w:rFonts w:ascii="宋体" w:hAnsi="宋体" w:eastAsia="宋体" w:cs="宋体"/>
          <w:b/>
          <w:bCs/>
          <w:spacing w:val="-2"/>
          <w:sz w:val="28"/>
          <w:szCs w:val="28"/>
          <w:highlight w:val="none"/>
          <w:lang w:eastAsia="zh-CN"/>
        </w:rPr>
        <w:t>标准应用情况</w:t>
      </w:r>
    </w:p>
    <w:p w14:paraId="50699DEF">
      <w:pPr>
        <w:spacing w:before="256" w:line="219" w:lineRule="auto"/>
        <w:ind w:left="50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本标准先后在以下单位进行了试点验证，效果良好，具体涉及单位如下：</w:t>
      </w:r>
    </w:p>
    <w:p w14:paraId="7EDCC0C6">
      <w:pPr>
        <w:spacing w:line="80" w:lineRule="exact"/>
        <w:rPr>
          <w:highlight w:val="none"/>
          <w:lang w:eastAsia="zh-CN"/>
        </w:rPr>
      </w:pPr>
    </w:p>
    <w:tbl>
      <w:tblPr>
        <w:tblStyle w:val="7"/>
        <w:tblW w:w="7381" w:type="dxa"/>
        <w:tblInd w:w="4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6164"/>
      </w:tblGrid>
      <w:tr w14:paraId="0B254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217" w:type="dxa"/>
          </w:tcPr>
          <w:p w14:paraId="75DC5BCB">
            <w:pPr>
              <w:pStyle w:val="8"/>
              <w:spacing w:before="47" w:line="215" w:lineRule="auto"/>
              <w:ind w:left="370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spacing w:val="-3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6164" w:type="dxa"/>
          </w:tcPr>
          <w:p w14:paraId="21BA824B">
            <w:pPr>
              <w:pStyle w:val="8"/>
              <w:spacing w:before="47" w:line="215" w:lineRule="auto"/>
              <w:ind w:left="2603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spacing w:val="-2"/>
                <w:sz w:val="24"/>
                <w:szCs w:val="24"/>
                <w:highlight w:val="none"/>
              </w:rPr>
              <w:t>试点单位</w:t>
            </w:r>
          </w:p>
        </w:tc>
      </w:tr>
      <w:tr w14:paraId="5DC93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217" w:type="dxa"/>
          </w:tcPr>
          <w:p w14:paraId="2F48E5D3">
            <w:pPr>
              <w:spacing w:before="85" w:line="186" w:lineRule="auto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6164" w:type="dxa"/>
          </w:tcPr>
          <w:p w14:paraId="1AA5981C">
            <w:pPr>
              <w:pStyle w:val="8"/>
              <w:spacing w:before="56" w:line="220" w:lineRule="auto"/>
              <w:ind w:left="2051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spacing w:val="-3"/>
                <w:highlight w:val="none"/>
                <w:lang w:eastAsia="zh-CN"/>
              </w:rPr>
              <w:t>中理检验有限公司防城港分公司</w:t>
            </w:r>
          </w:p>
        </w:tc>
      </w:tr>
    </w:tbl>
    <w:p w14:paraId="0B3AB02C">
      <w:pPr>
        <w:pStyle w:val="2"/>
        <w:rPr>
          <w:highlight w:val="none"/>
          <w:lang w:eastAsia="zh-CN"/>
        </w:rPr>
      </w:pPr>
    </w:p>
    <w:p w14:paraId="4DD525D4">
      <w:pPr>
        <w:rPr>
          <w:highlight w:val="none"/>
          <w:lang w:eastAsia="zh-CN"/>
        </w:rPr>
        <w:sectPr>
          <w:footerReference r:id="rId4" w:type="default"/>
          <w:pgSz w:w="11907" w:h="16839"/>
          <w:pgMar w:top="1431" w:right="1778" w:bottom="1355" w:left="1781" w:header="0" w:footer="1197" w:gutter="0"/>
          <w:cols w:space="720" w:num="1"/>
        </w:sectPr>
      </w:pPr>
    </w:p>
    <w:p w14:paraId="45C232F5">
      <w:pPr>
        <w:spacing w:before="253" w:line="220" w:lineRule="auto"/>
        <w:ind w:left="54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12" w:name="bookmark16"/>
      <w:bookmarkEnd w:id="12"/>
      <w:bookmarkStart w:id="13" w:name="bookmark13"/>
      <w:bookmarkEnd w:id="13"/>
      <w:bookmarkStart w:id="14" w:name="bookmark14"/>
      <w:bookmarkEnd w:id="14"/>
      <w:r>
        <w:rPr>
          <w:rFonts w:ascii="宋体" w:hAnsi="宋体" w:eastAsia="宋体" w:cs="宋体"/>
          <w:b/>
          <w:bCs/>
          <w:spacing w:val="-6"/>
          <w:sz w:val="30"/>
          <w:szCs w:val="30"/>
          <w:highlight w:val="none"/>
          <w:lang w:eastAsia="zh-CN"/>
        </w:rPr>
        <w:t>四、标准中涉及专利的情况</w:t>
      </w:r>
    </w:p>
    <w:p w14:paraId="4629C45C">
      <w:pPr>
        <w:spacing w:before="307" w:line="219" w:lineRule="auto"/>
        <w:ind w:left="504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本标准不涉及专利和知识产权问题。</w:t>
      </w:r>
    </w:p>
    <w:p w14:paraId="4B5ED1B7">
      <w:pPr>
        <w:spacing w:before="323" w:line="219" w:lineRule="auto"/>
        <w:ind w:left="31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15" w:name="bookmark15"/>
      <w:bookmarkEnd w:id="15"/>
      <w:r>
        <w:rPr>
          <w:rFonts w:ascii="宋体" w:hAnsi="宋体" w:eastAsia="宋体" w:cs="宋体"/>
          <w:b/>
          <w:bCs/>
          <w:spacing w:val="-4"/>
          <w:sz w:val="30"/>
          <w:szCs w:val="30"/>
          <w:highlight w:val="none"/>
          <w:lang w:eastAsia="zh-CN"/>
        </w:rPr>
        <w:t>五、采用国际标准和国外先进标准的情况</w:t>
      </w:r>
    </w:p>
    <w:p w14:paraId="57387A6C">
      <w:pPr>
        <w:spacing w:before="35" w:line="363" w:lineRule="auto"/>
        <w:ind w:left="19" w:right="83" w:firstLine="484"/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目前，国内外暂无统一的散装化学石膏适运水分标准，但有坚实的研究基础，以供参考。</w:t>
      </w:r>
    </w:p>
    <w:p w14:paraId="2CBD74ED">
      <w:pPr>
        <w:spacing w:before="35" w:line="363" w:lineRule="auto"/>
        <w:ind w:left="19" w:right="83" w:firstLine="484"/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《国际海运固体散货（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IMSBC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）规则》附录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作为国际通用规则，是本标准的主要参考依据。与此同时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GB/T 2007.1-1987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《散装矿产品取样、制样通则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手工取样方法》等散装矿的通用方法，更详细规范取样流程。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 xml:space="preserve">GB/T 23456-2018 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《磷石膏》、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>GB/T 5484-20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《石膏化学分析方法》、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 xml:space="preserve">GB/T 5483-2008 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《天然石膏》等方法，为化学石膏的水分测试，提供了有效依据。</w:t>
      </w:r>
    </w:p>
    <w:p w14:paraId="0B87F114">
      <w:pPr>
        <w:spacing w:before="35" w:line="363" w:lineRule="auto"/>
        <w:ind w:left="19" w:right="83" w:firstLine="484"/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因此，亟需建立《散装化学石膏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适运水分的测定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流盘实验法》标准，以规范行业操作。</w:t>
      </w:r>
    </w:p>
    <w:p w14:paraId="11DA6B93">
      <w:pPr>
        <w:spacing w:before="317" w:line="220" w:lineRule="auto"/>
        <w:ind w:left="28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  <w:highlight w:val="none"/>
          <w:lang w:eastAsia="zh-CN"/>
        </w:rPr>
        <w:t>六、与现行法律、法规、强制性国家标准及相关标准的关系</w:t>
      </w:r>
    </w:p>
    <w:p w14:paraId="035D98E8">
      <w:pPr>
        <w:spacing w:before="228" w:line="219" w:lineRule="auto"/>
        <w:ind w:left="504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本标准完全满足现行国家法规的要求，与其他现行标准不冲突。</w:t>
      </w:r>
    </w:p>
    <w:p w14:paraId="38BFC018">
      <w:pPr>
        <w:spacing w:before="242" w:line="219" w:lineRule="auto"/>
        <w:ind w:left="25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16" w:name="bookmark20"/>
      <w:bookmarkEnd w:id="16"/>
      <w:bookmarkStart w:id="17" w:name="bookmark19"/>
      <w:bookmarkEnd w:id="17"/>
      <w:r>
        <w:rPr>
          <w:rFonts w:ascii="宋体" w:hAnsi="宋体" w:eastAsia="宋体" w:cs="宋体"/>
          <w:b/>
          <w:bCs/>
          <w:spacing w:val="-3"/>
          <w:sz w:val="30"/>
          <w:szCs w:val="30"/>
          <w:highlight w:val="none"/>
          <w:lang w:eastAsia="zh-CN"/>
        </w:rPr>
        <w:t>七、重大分歧意见的处理和依据</w:t>
      </w:r>
    </w:p>
    <w:p w14:paraId="2F391AF5">
      <w:pPr>
        <w:spacing w:before="229" w:line="220" w:lineRule="auto"/>
        <w:ind w:left="505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7"/>
          <w:sz w:val="24"/>
          <w:szCs w:val="24"/>
          <w:highlight w:val="none"/>
          <w:lang w:eastAsia="zh-CN"/>
        </w:rPr>
        <w:t>无重大分歧。</w:t>
      </w:r>
    </w:p>
    <w:p w14:paraId="3CCBF25C">
      <w:pPr>
        <w:spacing w:before="238" w:line="220" w:lineRule="auto"/>
        <w:ind w:left="31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18" w:name="bookmark21"/>
      <w:bookmarkEnd w:id="18"/>
      <w:bookmarkStart w:id="19" w:name="bookmark22"/>
      <w:bookmarkEnd w:id="19"/>
      <w:r>
        <w:rPr>
          <w:rFonts w:ascii="宋体" w:hAnsi="宋体" w:eastAsia="宋体" w:cs="宋体"/>
          <w:b/>
          <w:bCs/>
          <w:spacing w:val="-4"/>
          <w:sz w:val="30"/>
          <w:szCs w:val="30"/>
          <w:highlight w:val="none"/>
          <w:lang w:eastAsia="zh-CN"/>
        </w:rPr>
        <w:t>八、贯彻标准的要求和措施建议</w:t>
      </w:r>
    </w:p>
    <w:p w14:paraId="771D8697">
      <w:pPr>
        <w:spacing w:before="312" w:line="367" w:lineRule="auto"/>
        <w:ind w:left="24" w:right="40" w:firstLine="479"/>
        <w:jc w:val="both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标准颁布实施后，需要协会有关部门组织大力宣传和贯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彻，使相关企业及相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关贸易单位能够积极主动地解读标准内容，充分认识和理解制订的标准条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款，进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-7"/>
          <w:sz w:val="24"/>
          <w:szCs w:val="24"/>
          <w:highlight w:val="none"/>
          <w:lang w:eastAsia="zh-CN"/>
        </w:rPr>
        <w:t>而加以应用。</w:t>
      </w:r>
    </w:p>
    <w:p w14:paraId="42C14086">
      <w:pPr>
        <w:spacing w:before="316" w:line="220" w:lineRule="auto"/>
        <w:ind w:left="33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20" w:name="bookmark23"/>
      <w:bookmarkEnd w:id="20"/>
      <w:bookmarkStart w:id="21" w:name="bookmark24"/>
      <w:bookmarkEnd w:id="21"/>
      <w:r>
        <w:rPr>
          <w:rFonts w:ascii="宋体" w:hAnsi="宋体" w:eastAsia="宋体" w:cs="宋体"/>
          <w:b/>
          <w:bCs/>
          <w:spacing w:val="-4"/>
          <w:sz w:val="30"/>
          <w:szCs w:val="30"/>
          <w:highlight w:val="none"/>
          <w:lang w:eastAsia="zh-CN"/>
        </w:rPr>
        <w:t>九、其他应予说明的事项</w:t>
      </w:r>
    </w:p>
    <w:p w14:paraId="0AD51D4A">
      <w:pPr>
        <w:spacing w:before="309" w:line="220" w:lineRule="auto"/>
        <w:ind w:left="505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12"/>
          <w:sz w:val="24"/>
          <w:szCs w:val="24"/>
          <w:highlight w:val="none"/>
          <w:lang w:eastAsia="zh-CN"/>
        </w:rPr>
        <w:t>无。</w:t>
      </w:r>
    </w:p>
    <w:p w14:paraId="2CD153BC">
      <w:pPr>
        <w:pStyle w:val="2"/>
        <w:spacing w:line="386" w:lineRule="auto"/>
        <w:rPr>
          <w:highlight w:val="none"/>
          <w:lang w:eastAsia="zh-CN"/>
        </w:rPr>
      </w:pPr>
    </w:p>
    <w:p w14:paraId="75862172">
      <w:pPr>
        <w:spacing w:before="98" w:line="220" w:lineRule="auto"/>
        <w:ind w:left="27"/>
        <w:outlineLvl w:val="0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bookmarkStart w:id="22" w:name="bookmark26"/>
      <w:bookmarkEnd w:id="22"/>
      <w:bookmarkStart w:id="23" w:name="bookmark25"/>
      <w:bookmarkEnd w:id="23"/>
      <w:r>
        <w:rPr>
          <w:rFonts w:ascii="宋体" w:hAnsi="宋体" w:eastAsia="宋体" w:cs="宋体"/>
          <w:b/>
          <w:bCs/>
          <w:spacing w:val="-5"/>
          <w:sz w:val="30"/>
          <w:szCs w:val="30"/>
          <w:highlight w:val="none"/>
          <w:lang w:eastAsia="zh-CN"/>
        </w:rPr>
        <w:t>十、预期效果</w:t>
      </w:r>
    </w:p>
    <w:p w14:paraId="35BDFD90">
      <w:pPr>
        <w:spacing w:before="312" w:line="367" w:lineRule="auto"/>
        <w:ind w:left="24" w:right="40" w:firstLine="479"/>
        <w:jc w:val="both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散装化学石膏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适运水分的测定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流盘实验法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》由中国出入境检验检疫协会批准、发布，是关于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散装化学石膏流动水分点测试</w:t>
      </w:r>
      <w:r>
        <w:rPr>
          <w:rFonts w:ascii="宋体" w:hAnsi="宋体" w:eastAsia="宋体" w:cs="宋体"/>
          <w:spacing w:val="-3"/>
          <w:sz w:val="24"/>
          <w:szCs w:val="24"/>
          <w:highlight w:val="none"/>
          <w:lang w:eastAsia="zh-CN"/>
        </w:rPr>
        <w:t>实施指南性团体标准。</w:t>
      </w:r>
      <w:bookmarkStart w:id="24" w:name="_GoBack"/>
      <w:bookmarkEnd w:id="24"/>
    </w:p>
    <w:p w14:paraId="54B54D8F">
      <w:pPr>
        <w:spacing w:before="312" w:line="367" w:lineRule="auto"/>
        <w:ind w:left="24" w:right="40" w:firstLine="479"/>
        <w:jc w:val="both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通过制定此标准，可为行业、企业提供诸多支撑。一是填补国内相关标准空白。二是满足相关企业对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化学石膏水路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运输需求，建立健全标准检测操作流程，为行业发展提供规范的指导。三是此标准也将有助于相关服务机构进行散装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val="en-US" w:eastAsia="zh-CN"/>
        </w:rPr>
        <w:t>化学石膏水路</w:t>
      </w:r>
      <w:r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  <w:t>运输工作的开展。</w:t>
      </w:r>
    </w:p>
    <w:p w14:paraId="4A6D5565">
      <w:pPr>
        <w:pStyle w:val="2"/>
        <w:spacing w:line="274" w:lineRule="auto"/>
        <w:rPr>
          <w:rFonts w:hint="eastAsia" w:ascii="宋体" w:hAnsi="宋体" w:eastAsia="宋体" w:cs="宋体"/>
          <w:spacing w:val="-3"/>
          <w:sz w:val="24"/>
          <w:szCs w:val="24"/>
          <w:highlight w:val="none"/>
          <w:lang w:eastAsia="zh-CN"/>
        </w:rPr>
      </w:pPr>
    </w:p>
    <w:p w14:paraId="5F71D37D">
      <w:pPr>
        <w:pStyle w:val="2"/>
        <w:spacing w:line="274" w:lineRule="auto"/>
        <w:rPr>
          <w:highlight w:val="none"/>
          <w:lang w:eastAsia="zh-CN"/>
        </w:rPr>
      </w:pPr>
    </w:p>
    <w:p w14:paraId="2CCB4D69">
      <w:pPr>
        <w:pStyle w:val="2"/>
        <w:spacing w:line="275" w:lineRule="auto"/>
        <w:rPr>
          <w:highlight w:val="none"/>
          <w:lang w:eastAsia="zh-CN"/>
        </w:rPr>
      </w:pPr>
    </w:p>
    <w:p w14:paraId="0E65774F">
      <w:pPr>
        <w:spacing w:before="78" w:line="363" w:lineRule="auto"/>
        <w:ind w:left="3531" w:right="12"/>
        <w:jc w:val="right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《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散装化学石膏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适运水分的测定</w:t>
      </w:r>
      <w:r>
        <w:rPr>
          <w:rFonts w:ascii="宋体" w:hAnsi="宋体" w:eastAsia="宋体" w:cs="宋体"/>
          <w:spacing w:val="-2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  <w:highlight w:val="none"/>
          <w:lang w:eastAsia="zh-CN"/>
        </w:rPr>
        <w:t>流盘实验法</w:t>
      </w:r>
      <w:r>
        <w:rPr>
          <w:rFonts w:ascii="宋体" w:hAnsi="宋体" w:eastAsia="宋体" w:cs="宋体"/>
          <w:spacing w:val="-1"/>
          <w:sz w:val="24"/>
          <w:szCs w:val="24"/>
          <w:highlight w:val="none"/>
          <w:lang w:eastAsia="zh-CN"/>
        </w:rPr>
        <w:t>》</w:t>
      </w:r>
      <w:r>
        <w:rPr>
          <w:rFonts w:ascii="宋体" w:hAnsi="宋体" w:eastAsia="宋体" w:cs="宋体"/>
          <w:sz w:val="24"/>
          <w:szCs w:val="24"/>
          <w:highlight w:val="none"/>
          <w:lang w:eastAsia="zh-CN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:highlight w:val="none"/>
          <w:lang w:eastAsia="zh-CN"/>
        </w:rPr>
        <w:t>团体标准起草小组</w:t>
      </w:r>
    </w:p>
    <w:p w14:paraId="659ED415">
      <w:pPr>
        <w:spacing w:before="32" w:line="220" w:lineRule="auto"/>
        <w:jc w:val="righ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ascii="宋体" w:hAnsi="宋体" w:eastAsia="宋体" w:cs="宋体"/>
          <w:spacing w:val="-13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lang w:eastAsia="zh-CN"/>
        </w:rPr>
        <w:t>4</w:t>
      </w:r>
      <w:r>
        <w:rPr>
          <w:rFonts w:ascii="宋体" w:hAnsi="宋体" w:eastAsia="宋体" w:cs="宋体"/>
          <w:spacing w:val="-47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highlight w:val="none"/>
        </w:rPr>
        <w:t>年1</w:t>
      </w:r>
      <w:r>
        <w:rPr>
          <w:rFonts w:hint="eastAsia" w:ascii="宋体" w:hAnsi="宋体" w:eastAsia="宋体" w:cs="宋体"/>
          <w:spacing w:val="-13"/>
          <w:sz w:val="24"/>
          <w:szCs w:val="24"/>
          <w:highlight w:val="none"/>
          <w:lang w:eastAsia="zh-CN"/>
        </w:rPr>
        <w:t>0</w:t>
      </w:r>
      <w:r>
        <w:rPr>
          <w:rFonts w:ascii="宋体" w:hAnsi="宋体" w:eastAsia="宋体" w:cs="宋体"/>
          <w:spacing w:val="-45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highlight w:val="none"/>
        </w:rPr>
        <w:t>月</w:t>
      </w:r>
      <w:r>
        <w:rPr>
          <w:rFonts w:ascii="宋体" w:hAnsi="宋体" w:eastAsia="宋体" w:cs="宋体"/>
          <w:spacing w:val="-32"/>
          <w:sz w:val="24"/>
          <w:szCs w:val="24"/>
          <w:highlight w:val="none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highlight w:val="none"/>
        </w:rPr>
        <w:t>10 日</w:t>
      </w:r>
    </w:p>
    <w:sectPr>
      <w:footerReference r:id="rId5" w:type="default"/>
      <w:pgSz w:w="11907" w:h="16839"/>
      <w:pgMar w:top="1431" w:right="1785" w:bottom="1355" w:left="1785" w:header="0" w:footer="119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E1183">
    <w:pPr>
      <w:spacing w:line="174" w:lineRule="auto"/>
      <w:ind w:left="422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2116C">
    <w:pPr>
      <w:spacing w:line="171" w:lineRule="auto"/>
      <w:ind w:left="413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64AD9">
    <w:pPr>
      <w:spacing w:line="171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WI5YmVmZTU4ZmExNDU3MTk4NTk2N2QxYzNiMzFhODEifQ=="/>
  </w:docVars>
  <w:rsids>
    <w:rsidRoot w:val="00217D0D"/>
    <w:rsid w:val="00215501"/>
    <w:rsid w:val="00217D0D"/>
    <w:rsid w:val="00367651"/>
    <w:rsid w:val="003F0F6D"/>
    <w:rsid w:val="0045165A"/>
    <w:rsid w:val="00777595"/>
    <w:rsid w:val="00903C31"/>
    <w:rsid w:val="00B76875"/>
    <w:rsid w:val="00C93810"/>
    <w:rsid w:val="00D12DD5"/>
    <w:rsid w:val="00D16C63"/>
    <w:rsid w:val="00E44059"/>
    <w:rsid w:val="00F05444"/>
    <w:rsid w:val="00F4668E"/>
    <w:rsid w:val="049F4D8E"/>
    <w:rsid w:val="0A416CF9"/>
    <w:rsid w:val="0C8161B0"/>
    <w:rsid w:val="13F8251D"/>
    <w:rsid w:val="1E1B44E3"/>
    <w:rsid w:val="23425BAE"/>
    <w:rsid w:val="29137953"/>
    <w:rsid w:val="2D32459D"/>
    <w:rsid w:val="365612FD"/>
    <w:rsid w:val="36E62C0E"/>
    <w:rsid w:val="3B674821"/>
    <w:rsid w:val="4951655A"/>
    <w:rsid w:val="677156E7"/>
    <w:rsid w:val="6CD2026E"/>
    <w:rsid w:val="71B04426"/>
    <w:rsid w:val="77B70E49"/>
    <w:rsid w:val="7D0F532E"/>
    <w:rsid w:val="7F6D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</w:rPr>
  </w:style>
  <w:style w:type="character" w:customStyle="1" w:styleId="9">
    <w:name w:val="fontstyle31"/>
    <w:basedOn w:val="6"/>
    <w:qFormat/>
    <w:uiPriority w:val="0"/>
    <w:rPr>
      <w:rFonts w:hint="eastAsia" w:ascii="仿宋" w:hAnsi="仿宋" w:eastAsia="仿宋" w:cs="仿宋"/>
      <w:color w:val="000000"/>
      <w:sz w:val="28"/>
      <w:szCs w:val="28"/>
    </w:rPr>
  </w:style>
  <w:style w:type="character" w:customStyle="1" w:styleId="10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3347</Words>
  <Characters>3488</Characters>
  <Lines>29</Lines>
  <Paragraphs>8</Paragraphs>
  <TotalTime>4</TotalTime>
  <ScaleCrop>false</ScaleCrop>
  <LinksUpToDate>false</LinksUpToDate>
  <CharactersWithSpaces>3600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2023-12-10T22:20:00Z</dcterms:created>
  <dc:creator>尹贝贝</dc:creator>
  <cp:lastModifiedBy>十月</cp:lastModifiedBy>
  <dcterms:modified xsi:type="dcterms:W3CDTF">2024-11-13T03:43:52Z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2024-10-10T11:06:35Z</vt:filetime>
  </property>
  <property fmtid="{D5CDD505-2E9C-101B-9397-08002B2CF9AE}" pid="4" name="KSOProductBuildVer">
    <vt:lpwstr>2052-12.1.0.18912</vt:lpwstr>
  </property>
  <property fmtid="{D5CDD505-2E9C-101B-9397-08002B2CF9AE}" pid="5" name="ICV">
    <vt:lpwstr>8E0F5AF84C9B4387B3EA97BB8920F23A_12</vt:lpwstr>
  </property>
</Properties>
</file>