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624EF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1065CA94">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2C195141">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03.220.40</w:t>
            </w:r>
            <w:r>
              <w:rPr>
                <w:rFonts w:ascii="黑体" w:hAnsi="黑体" w:eastAsia="黑体"/>
                <w:sz w:val="21"/>
                <w:szCs w:val="21"/>
              </w:rPr>
              <w:fldChar w:fldCharType="end"/>
            </w:r>
            <w:bookmarkEnd w:id="0"/>
          </w:p>
        </w:tc>
      </w:tr>
      <w:tr w14:paraId="404B5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B00781C">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7"/>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793F785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2C0C91BB">
                  <w:pPr>
                    <w:pStyle w:val="49"/>
                    <w:framePr w:wrap="notBeside" w:vAnchor="page" w:hAnchor="page" w:x="1372" w:y="568"/>
                    <w:ind w:left="420" w:right="624"/>
                    <w:rPr>
                      <w:rFonts w:hint="eastAsia"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CIQA</w:t>
                  </w:r>
                  <w:r>
                    <w:fldChar w:fldCharType="end"/>
                  </w:r>
                  <w:bookmarkEnd w:id="1"/>
                </w:p>
              </w:tc>
            </w:tr>
          </w:tbl>
          <w:p w14:paraId="12F79CE9">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R 09</w:t>
            </w:r>
            <w:r>
              <w:rPr>
                <w:rFonts w:ascii="黑体" w:hAnsi="黑体" w:eastAsia="黑体"/>
                <w:sz w:val="21"/>
                <w:szCs w:val="21"/>
              </w:rPr>
              <w:fldChar w:fldCharType="end"/>
            </w:r>
            <w:bookmarkEnd w:id="2"/>
          </w:p>
        </w:tc>
      </w:tr>
    </w:tbl>
    <w:p w14:paraId="253903FC">
      <w:pPr>
        <w:pStyle w:val="50"/>
        <w:framePr w:w="9639" w:h="624" w:hRule="exact" w:hSpace="181" w:vSpace="181" w:wrap="around" w:hAnchor="page" w:x="1305" w:y="2269"/>
        <w:rPr>
          <w:rFonts w:hint="eastAsia"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中国出入境检验检疫协会</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175AA481">
      <w:pPr>
        <w:pStyle w:val="195"/>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CIQA</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14:paraId="0B65A70F">
      <w:pPr>
        <w:pStyle w:val="196"/>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55C694C8">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3E46AE8C">
      <w:pPr>
        <w:pStyle w:val="50"/>
        <w:framePr w:w="9639" w:h="6976" w:hRule="exact" w:hSpace="0" w:vSpace="0" w:wrap="around" w:hAnchor="page" w:y="6408"/>
        <w:jc w:val="center"/>
        <w:rPr>
          <w:rFonts w:hint="eastAsia" w:ascii="黑体" w:hAnsi="黑体" w:eastAsia="黑体"/>
          <w:b w:val="0"/>
          <w:bCs w:val="0"/>
          <w:w w:val="100"/>
        </w:rPr>
      </w:pPr>
    </w:p>
    <w:p w14:paraId="38A30E4C">
      <w:pPr>
        <w:pStyle w:val="197"/>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散装铜渣  适运水分的测定  流盘实验法</w:t>
      </w:r>
      <w:r>
        <w:fldChar w:fldCharType="end"/>
      </w:r>
      <w:bookmarkEnd w:id="9"/>
    </w:p>
    <w:p w14:paraId="6268407D">
      <w:pPr>
        <w:framePr w:w="9639" w:h="6974" w:hRule="exact" w:wrap="around" w:vAnchor="page" w:hAnchor="page" w:x="1419" w:y="6408" w:anchorLock="1"/>
        <w:ind w:left="-1418"/>
      </w:pPr>
    </w:p>
    <w:p w14:paraId="547EF52B">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Copper slag fines in bulk—Determination of transportable moisture limits—Flow-table method</w:t>
      </w:r>
      <w:r>
        <w:rPr>
          <w:rFonts w:eastAsia="黑体"/>
          <w:szCs w:val="28"/>
        </w:rPr>
        <w:fldChar w:fldCharType="end"/>
      </w:r>
      <w:bookmarkEnd w:id="10"/>
    </w:p>
    <w:p w14:paraId="259052D5">
      <w:pPr>
        <w:framePr w:w="9639" w:h="6974" w:hRule="exact" w:wrap="around" w:vAnchor="page" w:hAnchor="page" w:x="1419" w:y="6408" w:anchorLock="1"/>
        <w:spacing w:line="760" w:lineRule="exact"/>
        <w:ind w:left="-1418"/>
      </w:pPr>
    </w:p>
    <w:p w14:paraId="2CC6718C">
      <w:pPr>
        <w:pStyle w:val="125"/>
        <w:framePr w:w="9639" w:h="6974" w:hRule="exact" w:wrap="around" w:vAnchor="page" w:hAnchor="page" w:x="1419" w:y="6408" w:anchorLock="1"/>
        <w:textAlignment w:val="bottom"/>
        <w:rPr>
          <w:rFonts w:eastAsia="黑体"/>
          <w:szCs w:val="28"/>
        </w:rPr>
      </w:pPr>
    </w:p>
    <w:p w14:paraId="53FEDC3A">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73538B23">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14:paraId="670DB765">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14419D4C">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343C2CE6">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0393478E">
      <w:pPr>
        <w:pStyle w:val="151"/>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中国出入境检验检疫协会</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70CEDB84">
      <w:pPr>
        <w:rPr>
          <w:rFonts w:hint="eastAsia"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02869EB5">
      <w:pPr>
        <w:pStyle w:val="91"/>
        <w:spacing w:after="360"/>
      </w:pPr>
      <w:bookmarkStart w:id="21" w:name="BookMark1"/>
      <w:bookmarkStart w:id="22" w:name="_Toc134887400"/>
      <w:bookmarkStart w:id="23" w:name="_Toc133247573"/>
      <w:bookmarkStart w:id="24" w:name="_Toc133247654"/>
      <w:bookmarkStart w:id="25" w:name="_Toc133247687"/>
      <w:r>
        <w:rPr>
          <w:rFonts w:hint="eastAsia"/>
          <w:spacing w:val="320"/>
        </w:rPr>
        <w:t>目</w:t>
      </w:r>
      <w:r>
        <w:rPr>
          <w:rFonts w:hint="eastAsia"/>
        </w:rPr>
        <w:t>次</w:t>
      </w:r>
    </w:p>
    <w:p w14:paraId="018336C3">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TOC \o "1-1" \h </w:instrText>
      </w:r>
      <w:r>
        <w:fldChar w:fldCharType="separate"/>
      </w:r>
      <w:r>
        <w:fldChar w:fldCharType="begin"/>
      </w:r>
      <w:r>
        <w:instrText xml:space="preserve"> HYPERLINK \l "_Toc135390138" </w:instrText>
      </w:r>
      <w:r>
        <w:fldChar w:fldCharType="separate"/>
      </w:r>
      <w:r>
        <w:rPr>
          <w:rStyle w:val="32"/>
        </w:rPr>
        <w:t>前言</w:t>
      </w:r>
      <w:r>
        <w:tab/>
      </w:r>
      <w:r>
        <w:fldChar w:fldCharType="begin"/>
      </w:r>
      <w:r>
        <w:instrText xml:space="preserve"> PAGEREF _Toc135390138 \h </w:instrText>
      </w:r>
      <w:r>
        <w:fldChar w:fldCharType="separate"/>
      </w:r>
      <w:r>
        <w:t>II</w:t>
      </w:r>
      <w:r>
        <w:fldChar w:fldCharType="end"/>
      </w:r>
      <w:r>
        <w:fldChar w:fldCharType="end"/>
      </w:r>
    </w:p>
    <w:p w14:paraId="21D88261">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"_Toc135390139" </w:instrText>
      </w:r>
      <w:r>
        <w:fldChar w:fldCharType="separate"/>
      </w:r>
      <w:r>
        <w:rPr>
          <w:rStyle w:val="32"/>
        </w:rPr>
        <w:t>1  范围</w:t>
      </w:r>
      <w:r>
        <w:tab/>
      </w:r>
      <w:r>
        <w:rPr>
          <w:rFonts w:hint="eastAsia"/>
          <w:lang w:val="en-US" w:eastAsia="zh-CN"/>
        </w:rPr>
        <w:t>3</w:t>
      </w:r>
      <w:r>
        <w:fldChar w:fldCharType="end"/>
      </w:r>
    </w:p>
    <w:p w14:paraId="0A0E7BCF">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"_Toc135390140" </w:instrText>
      </w:r>
      <w:r>
        <w:fldChar w:fldCharType="separate"/>
      </w:r>
      <w:r>
        <w:rPr>
          <w:rStyle w:val="32"/>
        </w:rPr>
        <w:t>2  规范性引用文件</w:t>
      </w:r>
      <w:r>
        <w:tab/>
      </w:r>
      <w:r>
        <w:rPr>
          <w:rFonts w:hint="eastAsia"/>
          <w:lang w:val="en-US" w:eastAsia="zh-CN"/>
        </w:rPr>
        <w:t>3</w:t>
      </w:r>
      <w:r>
        <w:fldChar w:fldCharType="end"/>
      </w:r>
    </w:p>
    <w:p w14:paraId="68B059D9">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"_Toc135390141" </w:instrText>
      </w:r>
      <w:r>
        <w:fldChar w:fldCharType="separate"/>
      </w:r>
      <w:r>
        <w:rPr>
          <w:rStyle w:val="32"/>
        </w:rPr>
        <w:t>3  术语和定义</w:t>
      </w:r>
      <w:r>
        <w:tab/>
      </w:r>
      <w:r>
        <w:rPr>
          <w:rFonts w:hint="eastAsia"/>
          <w:lang w:val="en-US" w:eastAsia="zh-CN"/>
        </w:rPr>
        <w:t>3</w:t>
      </w:r>
      <w:r>
        <w:fldChar w:fldCharType="end"/>
      </w:r>
    </w:p>
    <w:p w14:paraId="5073D161">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"_Toc135390142" </w:instrText>
      </w:r>
      <w:r>
        <w:fldChar w:fldCharType="separate"/>
      </w:r>
      <w:r>
        <w:rPr>
          <w:rStyle w:val="32"/>
        </w:rPr>
        <w:t xml:space="preserve">4  </w:t>
      </w:r>
      <w:r>
        <w:rPr>
          <w:rStyle w:val="32"/>
          <w:rFonts w:hint="eastAsia"/>
        </w:rPr>
        <w:t>原理</w:t>
      </w:r>
      <w:r>
        <w:tab/>
      </w:r>
      <w:r>
        <w:rPr>
          <w:rFonts w:hint="eastAsia"/>
          <w:lang w:val="en-US" w:eastAsia="zh-CN"/>
        </w:rPr>
        <w:t>4</w:t>
      </w:r>
      <w:r>
        <w:fldChar w:fldCharType="end"/>
      </w:r>
    </w:p>
    <w:p w14:paraId="06345BD8">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"_Toc135390143" </w:instrText>
      </w:r>
      <w:r>
        <w:fldChar w:fldCharType="separate"/>
      </w:r>
      <w:r>
        <w:rPr>
          <w:rStyle w:val="32"/>
        </w:rPr>
        <w:t xml:space="preserve">5  </w:t>
      </w:r>
      <w:r>
        <w:rPr>
          <w:rStyle w:val="32"/>
          <w:rFonts w:hint="eastAsia"/>
        </w:rPr>
        <w:t>仪器</w:t>
      </w:r>
      <w:r>
        <w:tab/>
      </w:r>
      <w:r>
        <w:rPr>
          <w:rFonts w:hint="eastAsia"/>
          <w:lang w:val="en-US" w:eastAsia="zh-CN"/>
        </w:rPr>
        <w:t>4</w:t>
      </w:r>
      <w:r>
        <w:fldChar w:fldCharType="end"/>
      </w:r>
    </w:p>
    <w:p w14:paraId="21B42CA3">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"_Toc135390144" </w:instrText>
      </w:r>
      <w:r>
        <w:fldChar w:fldCharType="separate"/>
      </w:r>
      <w:r>
        <w:rPr>
          <w:rStyle w:val="32"/>
          <w:rFonts w:hAnsi="黑体" w:cs="宋体"/>
        </w:rPr>
        <w:t xml:space="preserve">6  </w:t>
      </w:r>
      <w:r>
        <w:rPr>
          <w:rStyle w:val="32"/>
          <w:rFonts w:hint="eastAsia" w:hAnsi="黑体" w:cs="宋体"/>
        </w:rPr>
        <w:t>试样准备</w:t>
      </w:r>
      <w:r>
        <w:tab/>
      </w:r>
      <w:r>
        <w:rPr>
          <w:rFonts w:hint="eastAsia"/>
          <w:lang w:val="en-US" w:eastAsia="zh-CN"/>
        </w:rPr>
        <w:t>4</w:t>
      </w:r>
      <w:r>
        <w:fldChar w:fldCharType="end"/>
      </w:r>
    </w:p>
    <w:p w14:paraId="1821216A">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"_Toc135390145" </w:instrText>
      </w:r>
      <w:r>
        <w:fldChar w:fldCharType="separate"/>
      </w:r>
      <w:r>
        <w:rPr>
          <w:rStyle w:val="32"/>
        </w:rPr>
        <w:t xml:space="preserve">7  </w:t>
      </w:r>
      <w:r>
        <w:rPr>
          <w:rStyle w:val="32"/>
          <w:rFonts w:hint="eastAsia"/>
        </w:rPr>
        <w:t>流动水分点的预备试验</w:t>
      </w:r>
      <w:r>
        <w:tab/>
      </w:r>
      <w:r>
        <w:rPr>
          <w:rFonts w:hint="eastAsia"/>
          <w:lang w:val="en-US" w:eastAsia="zh-CN"/>
        </w:rPr>
        <w:t>5</w:t>
      </w:r>
      <w:r>
        <w:fldChar w:fldCharType="end"/>
      </w:r>
    </w:p>
    <w:p w14:paraId="4647D3EC">
      <w:pPr>
        <w:pStyle w:val="19"/>
        <w:tabs>
          <w:tab w:val="right" w:leader="dot" w:pos="9344"/>
        </w:tabs>
      </w:pPr>
      <w:r>
        <w:fldChar w:fldCharType="begin"/>
      </w:r>
      <w:r>
        <w:instrText xml:space="preserve"> HYPERLINK \l "_Toc135390146" </w:instrText>
      </w:r>
      <w:r>
        <w:fldChar w:fldCharType="separate"/>
      </w:r>
      <w:r>
        <w:rPr>
          <w:rStyle w:val="32"/>
        </w:rPr>
        <w:t xml:space="preserve">8  </w:t>
      </w:r>
      <w:r>
        <w:rPr>
          <w:rStyle w:val="32"/>
          <w:rFonts w:hint="eastAsia"/>
        </w:rPr>
        <w:t>流动水分点的主试验</w:t>
      </w:r>
      <w:r>
        <w:tab/>
      </w:r>
      <w:r>
        <w:rPr>
          <w:rFonts w:hint="eastAsia"/>
          <w:lang w:val="en-US" w:eastAsia="zh-CN"/>
        </w:rPr>
        <w:t>5</w:t>
      </w:r>
      <w:r>
        <w:fldChar w:fldCharType="end"/>
      </w:r>
    </w:p>
    <w:p w14:paraId="3ED89F5E">
      <w:pPr>
        <w:pStyle w:val="19"/>
        <w:tabs>
          <w:tab w:val="right" w:leader="dot" w:pos="9344"/>
        </w:tabs>
      </w:pPr>
      <w:r>
        <w:fldChar w:fldCharType="begin"/>
      </w:r>
      <w:r>
        <w:instrText xml:space="preserve"> HYPERLINK \l "_Toc135390146" </w:instrText>
      </w:r>
      <w:r>
        <w:fldChar w:fldCharType="separate"/>
      </w:r>
      <w:r>
        <w:rPr>
          <w:rStyle w:val="32"/>
          <w:rFonts w:hint="eastAsia"/>
        </w:rPr>
        <w:t>9</w:t>
      </w:r>
      <w:r>
        <w:rPr>
          <w:rStyle w:val="32"/>
        </w:rPr>
        <w:t xml:space="preserve">  </w:t>
      </w:r>
      <w:r>
        <w:rPr>
          <w:rFonts w:hint="eastAsia"/>
        </w:rPr>
        <w:t>流动水分点的计算</w:t>
      </w:r>
      <w:r>
        <w:tab/>
      </w:r>
      <w:r>
        <w:rPr>
          <w:rFonts w:hint="eastAsia"/>
        </w:rPr>
        <w:t>6</w:t>
      </w:r>
      <w:r>
        <w:rPr>
          <w:rFonts w:hint="eastAsia"/>
        </w:rPr>
        <w:fldChar w:fldCharType="end"/>
      </w:r>
    </w:p>
    <w:p w14:paraId="6F808516">
      <w:pPr>
        <w:pStyle w:val="19"/>
        <w:tabs>
          <w:tab w:val="right" w:leader="dot" w:pos="9344"/>
        </w:tabs>
      </w:pPr>
      <w:r>
        <w:fldChar w:fldCharType="begin"/>
      </w:r>
      <w:r>
        <w:instrText xml:space="preserve"> HYPERLINK \l "_Toc135390146" </w:instrText>
      </w:r>
      <w:r>
        <w:fldChar w:fldCharType="separate"/>
      </w:r>
      <w:r>
        <w:rPr>
          <w:rStyle w:val="32"/>
          <w:rFonts w:hint="eastAsia"/>
        </w:rPr>
        <w:t>10</w:t>
      </w:r>
      <w:r>
        <w:rPr>
          <w:rStyle w:val="32"/>
        </w:rPr>
        <w:t xml:space="preserve">  </w:t>
      </w:r>
      <w:r>
        <w:rPr>
          <w:rFonts w:hint="eastAsia"/>
        </w:rPr>
        <w:t>适运水分限量(TML)的计算</w:t>
      </w:r>
      <w:r>
        <w:tab/>
      </w:r>
      <w:r>
        <w:rPr>
          <w:rFonts w:hint="eastAsia"/>
        </w:rPr>
        <w:t>6</w:t>
      </w:r>
      <w:r>
        <w:rPr>
          <w:rFonts w:hint="eastAsia"/>
        </w:rPr>
        <w:fldChar w:fldCharType="end"/>
      </w:r>
    </w:p>
    <w:p w14:paraId="5DA7AFAD">
      <w:pPr>
        <w:pStyle w:val="19"/>
        <w:tabs>
          <w:tab w:val="right" w:leader="dot" w:pos="9344"/>
        </w:tabs>
      </w:pPr>
      <w:r>
        <w:fldChar w:fldCharType="begin"/>
      </w:r>
      <w:r>
        <w:instrText xml:space="preserve"> HYPERLINK \l "_Toc135390146" </w:instrText>
      </w:r>
      <w:r>
        <w:fldChar w:fldCharType="separate"/>
      </w:r>
      <w:r>
        <w:rPr>
          <w:rStyle w:val="32"/>
          <w:rFonts w:hint="eastAsia"/>
        </w:rPr>
        <w:t>11</w:t>
      </w:r>
      <w:r>
        <w:rPr>
          <w:rStyle w:val="32"/>
        </w:rPr>
        <w:t xml:space="preserve">  </w:t>
      </w:r>
      <w:r>
        <w:rPr>
          <w:rFonts w:hint="eastAsia"/>
        </w:rPr>
        <w:t>精密度</w:t>
      </w:r>
      <w:r>
        <w:tab/>
      </w:r>
      <w:r>
        <w:rPr>
          <w:rFonts w:hint="eastAsia"/>
        </w:rPr>
        <w:t>7</w:t>
      </w:r>
      <w:r>
        <w:rPr>
          <w:rFonts w:hint="eastAsia"/>
        </w:rPr>
        <w:fldChar w:fldCharType="end"/>
      </w:r>
    </w:p>
    <w:p w14:paraId="3A65CFF5">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"_Toc135390147" </w:instrText>
      </w:r>
      <w:r>
        <w:fldChar w:fldCharType="separate"/>
      </w:r>
      <w:r>
        <w:rPr>
          <w:rStyle w:val="32"/>
        </w:rPr>
        <w:t>附录A（</w:t>
      </w:r>
      <w:r>
        <w:rPr>
          <w:rStyle w:val="32"/>
          <w:rFonts w:hint="eastAsia"/>
        </w:rPr>
        <w:t>规范</w:t>
      </w:r>
      <w:r>
        <w:rPr>
          <w:rStyle w:val="32"/>
        </w:rPr>
        <w:t xml:space="preserve">性）  </w:t>
      </w:r>
      <w:r>
        <w:rPr>
          <w:rStyle w:val="32"/>
          <w:rFonts w:hint="eastAsia"/>
        </w:rPr>
        <w:t>流盘仪</w:t>
      </w:r>
      <w:r>
        <w:tab/>
      </w:r>
      <w:r>
        <w:rPr>
          <w:rFonts w:hint="eastAsia"/>
        </w:rPr>
        <w:t>8</w:t>
      </w:r>
      <w:r>
        <w:rPr>
          <w:rFonts w:hint="eastAsia"/>
        </w:rPr>
        <w:fldChar w:fldCharType="end"/>
      </w:r>
    </w:p>
    <w:p w14:paraId="6EE7CFD4">
      <w:pPr>
        <w:pStyle w:val="19"/>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"_Toc135390148" </w:instrText>
      </w:r>
      <w:r>
        <w:fldChar w:fldCharType="separate"/>
      </w:r>
      <w:r>
        <w:rPr>
          <w:rStyle w:val="32"/>
        </w:rPr>
        <w:t xml:space="preserve">附录B（规范性）  </w:t>
      </w:r>
      <w:r>
        <w:rPr>
          <w:rStyle w:val="32"/>
          <w:rFonts w:hint="eastAsia"/>
        </w:rPr>
        <w:t>夯实压力的计算</w:t>
      </w:r>
      <w:r>
        <w:tab/>
      </w:r>
      <w:r>
        <w:rPr>
          <w:rFonts w:hint="eastAsia"/>
        </w:rPr>
        <w:t>12</w:t>
      </w:r>
      <w:r>
        <w:rPr>
          <w:rFonts w:hint="eastAsia"/>
        </w:rPr>
        <w:fldChar w:fldCharType="end"/>
      </w:r>
    </w:p>
    <w:p w14:paraId="4E80146E">
      <w:pPr>
        <w:pStyle w:val="91"/>
        <w:spacing w:after="360"/>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1"/>
    <w:p w14:paraId="136A88DE">
      <w:pPr>
        <w:pStyle w:val="89"/>
        <w:spacing w:before="900" w:after="360"/>
      </w:pPr>
      <w:bookmarkStart w:id="26" w:name="_Toc135390138"/>
      <w:bookmarkStart w:id="27" w:name="BookMark2"/>
      <w:r>
        <w:rPr>
          <w:spacing w:val="320"/>
        </w:rPr>
        <w:t>前</w:t>
      </w:r>
      <w:r>
        <w:t>言</w:t>
      </w:r>
      <w:bookmarkEnd w:id="22"/>
      <w:bookmarkEnd w:id="23"/>
      <w:bookmarkEnd w:id="24"/>
      <w:bookmarkEnd w:id="25"/>
      <w:bookmarkEnd w:id="26"/>
    </w:p>
    <w:p w14:paraId="79115568">
      <w:pPr>
        <w:pStyle w:val="56"/>
        <w:ind w:firstLine="420"/>
      </w:pPr>
      <w:r>
        <w:rPr>
          <w:rFonts w:hint="eastAsia"/>
        </w:rPr>
        <w:t xml:space="preserve">本文件按照GB/T 1.1—2020《标准化工作导则 </w:t>
      </w:r>
      <w:r>
        <w:t xml:space="preserve"> </w:t>
      </w:r>
      <w:r>
        <w:rPr>
          <w:rFonts w:hint="eastAsia"/>
        </w:rPr>
        <w:t>第1部分：标准化文件的结构和起草规则》的规定起草。</w:t>
      </w:r>
    </w:p>
    <w:p w14:paraId="29066FCB">
      <w:pPr>
        <w:pStyle w:val="56"/>
        <w:ind w:firstLine="420"/>
      </w:pPr>
      <w:r>
        <w:rPr>
          <w:rFonts w:hint="eastAsia"/>
        </w:rPr>
        <w:t>请注意本文件的某些内容可能涉及专利。本文件的发布机构不承担识别这些专利的责任。</w:t>
      </w:r>
    </w:p>
    <w:p w14:paraId="76FB7FB5">
      <w:pPr>
        <w:pStyle w:val="56"/>
        <w:ind w:firstLine="420"/>
      </w:pPr>
      <w:r>
        <w:rPr>
          <w:rFonts w:hint="eastAsia"/>
        </w:rPr>
        <w:t>本文件由中国出入境检验检疫协会检验鉴定标准化技术委员会（C</w:t>
      </w:r>
      <w:r>
        <w:t>IQA</w:t>
      </w:r>
      <w:r>
        <w:rPr>
          <w:rFonts w:hint="eastAsia"/>
        </w:rPr>
        <w:t>/</w:t>
      </w:r>
      <w:r>
        <w:t>TC 1</w:t>
      </w:r>
      <w:r>
        <w:rPr>
          <w:rFonts w:hint="eastAsia"/>
        </w:rPr>
        <w:t>）提出并归口。</w:t>
      </w:r>
    </w:p>
    <w:p w14:paraId="295F2F1A">
      <w:pPr>
        <w:pStyle w:val="56"/>
        <w:ind w:firstLine="420"/>
      </w:pPr>
      <w:r>
        <w:rPr>
          <w:rFonts w:hint="eastAsia"/>
        </w:rPr>
        <w:t>本文件起草单位：</w:t>
      </w:r>
    </w:p>
    <w:p w14:paraId="439EC519">
      <w:pPr>
        <w:pStyle w:val="56"/>
        <w:ind w:firstLine="420"/>
      </w:pPr>
      <w:r>
        <w:rPr>
          <w:rFonts w:hint="eastAsia"/>
        </w:rPr>
        <w:t>本文件主要起草人：</w:t>
      </w:r>
    </w:p>
    <w:p w14:paraId="3CFC22F4">
      <w:pPr>
        <w:pStyle w:val="56"/>
        <w:ind w:firstLine="420"/>
      </w:pPr>
    </w:p>
    <w:p w14:paraId="44D06E60">
      <w:pPr>
        <w:pStyle w:val="56"/>
        <w:ind w:firstLine="420"/>
        <w:sectPr>
          <w:pgSz w:w="11906" w:h="16838"/>
          <w:pgMar w:top="1928" w:right="1134" w:bottom="1134" w:left="1134" w:header="1418" w:footer="1134" w:gutter="284"/>
          <w:pgNumType w:fmt="upperRoman"/>
          <w:cols w:space="425" w:num="1"/>
          <w:formProt w:val="0"/>
          <w:docGrid w:linePitch="312" w:charSpace="0"/>
        </w:sectPr>
      </w:pPr>
      <w:r>
        <w:t>本文件知识产权归中国出入境检验检疫协会所有。任何单位或个人未经许可，不得以营利为目的，印制、出版、 翻译、转发或复制全文或部分文字</w:t>
      </w:r>
      <w:r>
        <w:rPr>
          <w:rFonts w:hint="eastAsia"/>
        </w:rPr>
        <w:t>。</w:t>
      </w:r>
    </w:p>
    <w:bookmarkEnd w:id="27"/>
    <w:p w14:paraId="36443B57">
      <w:pPr>
        <w:spacing w:line="20" w:lineRule="exact"/>
        <w:jc w:val="center"/>
        <w:rPr>
          <w:rFonts w:hint="eastAsia" w:ascii="黑体" w:hAnsi="黑体" w:eastAsia="黑体"/>
          <w:sz w:val="32"/>
          <w:szCs w:val="32"/>
        </w:rPr>
      </w:pPr>
      <w:bookmarkStart w:id="28" w:name="BookMark4"/>
    </w:p>
    <w:p w14:paraId="72A54A59">
      <w:pPr>
        <w:spacing w:line="20" w:lineRule="exact"/>
        <w:jc w:val="center"/>
        <w:rPr>
          <w:rFonts w:hint="eastAsia" w:ascii="黑体" w:hAnsi="黑体" w:eastAsia="黑体"/>
          <w:sz w:val="32"/>
          <w:szCs w:val="32"/>
        </w:rPr>
      </w:pPr>
    </w:p>
    <w:sdt>
      <w:sdtPr>
        <w:tag w:val="NEW_STAND_NAME"/>
        <w:id w:val="595910757"/>
        <w:lock w:val="sdtLocked"/>
        <w:placeholder>
          <w:docPart w:val="700EADEBB3C54809893CCF967E895BF8"/>
        </w:placeholder>
      </w:sdtPr>
      <w:sdtContent>
        <w:p w14:paraId="5A47CCBB">
          <w:pPr>
            <w:jc w:val="center"/>
            <w:rPr>
              <w:b/>
              <w:bCs/>
              <w:sz w:val="32"/>
              <w:szCs w:val="32"/>
            </w:rPr>
          </w:pPr>
          <w:bookmarkStart w:id="29" w:name="NEW_STAND_NAME"/>
          <w:r>
            <w:rPr>
              <w:rFonts w:hint="eastAsia"/>
              <w:b/>
              <w:bCs/>
              <w:sz w:val="32"/>
              <w:szCs w:val="32"/>
            </w:rPr>
            <w:t>散装铜渣  适运水分的测定  流盘实验法</w:t>
          </w:r>
        </w:p>
        <w:p w14:paraId="4A223F0E">
          <w:pPr>
            <w:jc w:val="center"/>
            <w:rPr>
              <w:b/>
              <w:bCs/>
              <w:sz w:val="32"/>
              <w:szCs w:val="32"/>
            </w:rPr>
          </w:pPr>
        </w:p>
      </w:sdtContent>
    </w:sdt>
    <w:bookmarkEnd w:id="28"/>
    <w:bookmarkEnd w:id="29"/>
    <w:p w14:paraId="7EFA2127">
      <w:pPr>
        <w:rPr>
          <w:highlight w:val="none"/>
        </w:rPr>
      </w:pPr>
    </w:p>
    <w:p w14:paraId="5CD6D721">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1</w:t>
      </w:r>
      <w:r>
        <w:rPr>
          <w:rFonts w:hint="eastAsia" w:ascii="宋体" w:hAnsi="宋体" w:cs="宋体"/>
          <w:b/>
          <w:bCs/>
          <w:sz w:val="24"/>
          <w:highlight w:val="none"/>
        </w:rPr>
        <w:t xml:space="preserve"> 范围</w:t>
      </w:r>
    </w:p>
    <w:p w14:paraId="3907FC4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本标准规定了散装固体铜渣适运水分限量的流盘试验方法。</w:t>
      </w:r>
    </w:p>
    <w:p w14:paraId="02653FB4">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本标准适用于公称粒度 ≤ 7 mm的</w:t>
      </w:r>
      <w:r>
        <w:rPr>
          <w:rFonts w:hint="eastAsia" w:ascii="宋体" w:hAnsi="宋体" w:cs="宋体"/>
          <w:sz w:val="24"/>
          <w:highlight w:val="none"/>
          <w:lang w:val="en-US" w:eastAsia="zh-CN"/>
        </w:rPr>
        <w:t>散装铜渣</w:t>
      </w:r>
      <w:r>
        <w:rPr>
          <w:rFonts w:hint="eastAsia" w:ascii="宋体" w:hAnsi="宋体" w:cs="宋体"/>
          <w:sz w:val="24"/>
          <w:highlight w:val="none"/>
        </w:rPr>
        <w:t>适运水分限量的测定。</w:t>
      </w:r>
    </w:p>
    <w:p w14:paraId="01499A10">
      <w:pPr>
        <w:spacing w:line="360" w:lineRule="auto"/>
        <w:ind w:firstLine="480" w:firstLineChars="200"/>
        <w:rPr>
          <w:rFonts w:hint="eastAsia" w:ascii="宋体" w:hAnsi="宋体" w:cs="宋体"/>
          <w:sz w:val="24"/>
          <w:highlight w:val="none"/>
        </w:rPr>
      </w:pPr>
    </w:p>
    <w:p w14:paraId="7FA7F7BB">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2</w:t>
      </w:r>
      <w:r>
        <w:rPr>
          <w:rFonts w:hint="eastAsia" w:ascii="宋体" w:hAnsi="宋体" w:cs="宋体"/>
          <w:b/>
          <w:bCs/>
          <w:sz w:val="24"/>
          <w:highlight w:val="none"/>
        </w:rPr>
        <w:t xml:space="preserve"> 规范性引用文件</w:t>
      </w:r>
    </w:p>
    <w:p w14:paraId="69D7C04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GB/T 2007.6-1987 《散装矿产品取样、制样通则 水分测定方法 热干燥法》</w:t>
      </w:r>
    </w:p>
    <w:p w14:paraId="14F9556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GB/T 2007.7-1987 </w:t>
      </w:r>
      <w:r>
        <w:rPr>
          <w:rFonts w:hint="eastAsia" w:ascii="宋体" w:hAnsi="宋体" w:cs="宋体"/>
          <w:color w:val="000000"/>
          <w:sz w:val="24"/>
          <w:highlight w:val="none"/>
        </w:rPr>
        <w:t>《散装矿产品取样、制样通则 粒度测定方法—手工筛分法》</w:t>
      </w:r>
    </w:p>
    <w:p w14:paraId="3C4E9E9F">
      <w:pPr>
        <w:spacing w:line="360" w:lineRule="auto"/>
        <w:ind w:firstLine="480" w:firstLineChars="200"/>
        <w:rPr>
          <w:rFonts w:hint="eastAsia" w:ascii="宋体" w:hAnsi="宋体" w:cs="宋体"/>
          <w:sz w:val="24"/>
          <w:highlight w:val="none"/>
        </w:rPr>
      </w:pPr>
      <w:r>
        <w:rPr>
          <w:rFonts w:ascii="宋体" w:hAnsi="宋体" w:cs="宋体"/>
          <w:sz w:val="24"/>
          <w:highlight w:val="none"/>
        </w:rPr>
        <w:t>GB/T 27682-2011</w:t>
      </w:r>
      <w:r>
        <w:rPr>
          <w:rFonts w:hint="eastAsia" w:ascii="宋体" w:hAnsi="宋体" w:cs="宋体"/>
          <w:sz w:val="24"/>
          <w:highlight w:val="none"/>
        </w:rPr>
        <w:t>《铜渣精矿》</w:t>
      </w:r>
    </w:p>
    <w:p w14:paraId="2F280ECF">
      <w:pPr>
        <w:spacing w:line="360" w:lineRule="auto"/>
        <w:ind w:firstLine="480" w:firstLineChars="200"/>
        <w:rPr>
          <w:rFonts w:hint="eastAsia" w:ascii="宋体" w:hAnsi="宋体" w:cs="宋体"/>
          <w:sz w:val="24"/>
          <w:highlight w:val="none"/>
        </w:rPr>
      </w:pPr>
      <w:r>
        <w:rPr>
          <w:rFonts w:ascii="宋体" w:hAnsi="宋体" w:cs="宋体"/>
          <w:sz w:val="24"/>
          <w:highlight w:val="none"/>
        </w:rPr>
        <w:t>GB/T 14263-2010</w:t>
      </w:r>
      <w:r>
        <w:rPr>
          <w:rFonts w:hint="eastAsia" w:ascii="宋体" w:hAnsi="宋体" w:cs="宋体"/>
          <w:sz w:val="24"/>
          <w:highlight w:val="none"/>
        </w:rPr>
        <w:t>《散装浮选铜精矿取样、制样方法》</w:t>
      </w:r>
    </w:p>
    <w:p w14:paraId="2ECCD4E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《国际海运固体散货（IMSBC）规则》附录2 </w:t>
      </w:r>
    </w:p>
    <w:p w14:paraId="031029CA">
      <w:pPr>
        <w:spacing w:line="360" w:lineRule="auto"/>
        <w:ind w:firstLine="480" w:firstLineChars="200"/>
        <w:rPr>
          <w:rFonts w:hint="eastAsia" w:ascii="宋体" w:hAnsi="宋体" w:cs="宋体"/>
          <w:sz w:val="24"/>
          <w:highlight w:val="none"/>
        </w:rPr>
      </w:pPr>
    </w:p>
    <w:p w14:paraId="1E1FE0A2">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3</w:t>
      </w:r>
      <w:r>
        <w:rPr>
          <w:rFonts w:hint="eastAsia" w:ascii="宋体" w:hAnsi="宋体" w:cs="宋体"/>
          <w:b/>
          <w:bCs/>
          <w:sz w:val="24"/>
          <w:highlight w:val="none"/>
        </w:rPr>
        <w:t xml:space="preserve"> 术语和定义</w:t>
      </w:r>
    </w:p>
    <w:p w14:paraId="47F96DD0">
      <w:pPr>
        <w:spacing w:line="360" w:lineRule="auto"/>
        <w:rPr>
          <w:rFonts w:hint="eastAsia" w:ascii="宋体" w:hAnsi="宋体" w:cs="宋体"/>
          <w:sz w:val="24"/>
          <w:highlight w:val="none"/>
        </w:rPr>
      </w:pPr>
      <w:r>
        <w:rPr>
          <w:rFonts w:hint="eastAsia" w:ascii="宋体" w:hAnsi="宋体" w:cs="宋体"/>
          <w:sz w:val="24"/>
          <w:highlight w:val="none"/>
        </w:rPr>
        <w:t>3.1流态flow state</w:t>
      </w:r>
    </w:p>
    <w:p w14:paraId="46F68F91">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大量的颗粒状物质内液体饱和到一定程度时，由于震动、撞击或船舶摇摆等外部因素的影响，丧失其内部抗剪切强度而呈现如同液体一样的特性，即试样达到塑性流动的状态。</w:t>
      </w:r>
    </w:p>
    <w:p w14:paraId="7BEE80B1">
      <w:pPr>
        <w:spacing w:line="360" w:lineRule="auto"/>
        <w:rPr>
          <w:rFonts w:hint="eastAsia" w:ascii="宋体" w:hAnsi="宋体" w:cs="宋体"/>
          <w:sz w:val="24"/>
          <w:highlight w:val="none"/>
        </w:rPr>
      </w:pPr>
      <w:r>
        <w:rPr>
          <w:rFonts w:hint="eastAsia" w:ascii="宋体" w:hAnsi="宋体" w:cs="宋体"/>
          <w:sz w:val="24"/>
          <w:highlight w:val="none"/>
        </w:rPr>
        <w:t>3.2流动水分点 flow moisture point；FMP</w:t>
      </w:r>
    </w:p>
    <w:p w14:paraId="07CC106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试样在试验过程中，产生流动状态即发生流态化时的水分含量。</w:t>
      </w:r>
    </w:p>
    <w:p w14:paraId="3A9DC38A">
      <w:pPr>
        <w:spacing w:line="360" w:lineRule="auto"/>
        <w:rPr>
          <w:rFonts w:hint="eastAsia" w:ascii="宋体" w:hAnsi="宋体" w:cs="宋体"/>
          <w:sz w:val="24"/>
          <w:highlight w:val="none"/>
        </w:rPr>
      </w:pPr>
      <w:r>
        <w:rPr>
          <w:rFonts w:hint="eastAsia" w:ascii="宋体" w:hAnsi="宋体" w:cs="宋体"/>
          <w:sz w:val="24"/>
          <w:highlight w:val="none"/>
        </w:rPr>
        <w:t>3.3适运水分限量 transportable moisture limits；TML</w:t>
      </w:r>
    </w:p>
    <w:p w14:paraId="51635E9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使用非特定船舶运输时，散装货物可安全运输的最大水分含量。在本方法流盘法试验中，规定为FMP 值的90%。适运水分限量又称适运水分极限。</w:t>
      </w:r>
    </w:p>
    <w:p w14:paraId="6C30E8C6">
      <w:pPr>
        <w:spacing w:line="360" w:lineRule="auto"/>
        <w:ind w:firstLine="480" w:firstLineChars="200"/>
        <w:rPr>
          <w:rFonts w:hint="eastAsia" w:ascii="宋体" w:hAnsi="宋体" w:cs="宋体"/>
          <w:sz w:val="24"/>
          <w:highlight w:val="none"/>
        </w:rPr>
      </w:pPr>
    </w:p>
    <w:p w14:paraId="2B5EE1ED">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4</w:t>
      </w:r>
      <w:r>
        <w:rPr>
          <w:rFonts w:hint="eastAsia" w:ascii="宋体" w:hAnsi="宋体" w:cs="宋体"/>
          <w:b/>
          <w:bCs/>
          <w:sz w:val="24"/>
          <w:highlight w:val="none"/>
        </w:rPr>
        <w:t xml:space="preserve"> 原理</w:t>
      </w:r>
    </w:p>
    <w:p w14:paraId="720E0D7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用模具和夯具将含水均匀的试样制成圆台。用流盘仪模拟海上运输船体的振动，给予试样圆台相应的垂直振动力。流盘的振动作用导致试样颗粒重新排列，产生致密的堆积态，颗粒间空隙变小。因试样所含水分固定,占空隙体积百分比上升。当含水量达到一临界值时，孔隙水压产生，堆积的试样失去剪切强度，表现出直径变大，边缘变形等流态化现象。此时试样所含的水分含量为该试样的流动水分点，通过水分测量而得。考虑安全系数，一般固体散装货物的适运水分限量定义为其流动水分点的90%，通过计算所得。</w:t>
      </w:r>
    </w:p>
    <w:p w14:paraId="2026D224">
      <w:pPr>
        <w:spacing w:line="360" w:lineRule="auto"/>
        <w:ind w:firstLine="480" w:firstLineChars="200"/>
        <w:rPr>
          <w:rFonts w:hint="eastAsia" w:ascii="宋体" w:hAnsi="宋体" w:cs="宋体"/>
          <w:sz w:val="24"/>
          <w:highlight w:val="none"/>
        </w:rPr>
      </w:pPr>
    </w:p>
    <w:p w14:paraId="0C586F25">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5</w:t>
      </w:r>
      <w:r>
        <w:rPr>
          <w:rFonts w:hint="eastAsia" w:ascii="宋体" w:hAnsi="宋体" w:cs="宋体"/>
          <w:b/>
          <w:bCs/>
          <w:sz w:val="24"/>
          <w:highlight w:val="none"/>
        </w:rPr>
        <w:t xml:space="preserve"> 仪器</w:t>
      </w:r>
    </w:p>
    <w:p w14:paraId="37AC9D88">
      <w:pPr>
        <w:spacing w:line="360" w:lineRule="auto"/>
        <w:rPr>
          <w:rFonts w:hint="eastAsia" w:ascii="宋体" w:hAnsi="宋体" w:cs="宋体"/>
          <w:sz w:val="24"/>
          <w:highlight w:val="none"/>
        </w:rPr>
      </w:pPr>
      <w:r>
        <w:rPr>
          <w:rFonts w:hint="eastAsia" w:ascii="宋体" w:hAnsi="宋体" w:cs="宋体"/>
          <w:sz w:val="24"/>
          <w:highlight w:val="none"/>
        </w:rPr>
        <w:t>5.1流盘仪：含配套模具，见附录 A 的 A.1，或其他具有相同功能的设备。</w:t>
      </w:r>
    </w:p>
    <w:p w14:paraId="742441FF">
      <w:pPr>
        <w:spacing w:line="360" w:lineRule="auto"/>
        <w:rPr>
          <w:rFonts w:hint="eastAsia" w:ascii="宋体" w:hAnsi="宋体" w:cs="宋体"/>
          <w:sz w:val="24"/>
          <w:highlight w:val="none"/>
        </w:rPr>
      </w:pPr>
      <w:r>
        <w:rPr>
          <w:rFonts w:hint="eastAsia" w:ascii="宋体" w:hAnsi="宋体" w:cs="宋体"/>
          <w:sz w:val="24"/>
          <w:highlight w:val="none"/>
        </w:rPr>
        <w:t>5.2夯具：见 A.2</w:t>
      </w:r>
    </w:p>
    <w:p w14:paraId="2E04BA71">
      <w:pPr>
        <w:spacing w:line="360" w:lineRule="auto"/>
        <w:rPr>
          <w:rFonts w:hint="eastAsia" w:ascii="宋体" w:hAnsi="宋体" w:cs="宋体"/>
          <w:sz w:val="24"/>
          <w:highlight w:val="none"/>
        </w:rPr>
      </w:pPr>
      <w:r>
        <w:rPr>
          <w:rFonts w:hint="eastAsia" w:ascii="宋体" w:hAnsi="宋体" w:cs="宋体"/>
          <w:sz w:val="24"/>
          <w:highlight w:val="none"/>
        </w:rPr>
        <w:t>5.3干燥盘：表面光滑、干燥无污染，可容纳厚度不超过 31.5 mm 的规定数量试验样品的器皿。</w:t>
      </w:r>
    </w:p>
    <w:p w14:paraId="06713C9F">
      <w:pPr>
        <w:spacing w:line="360" w:lineRule="auto"/>
        <w:rPr>
          <w:rFonts w:hint="eastAsia" w:ascii="宋体" w:hAnsi="宋体" w:cs="宋体"/>
          <w:sz w:val="24"/>
          <w:highlight w:val="none"/>
        </w:rPr>
      </w:pPr>
      <w:r>
        <w:rPr>
          <w:rFonts w:hint="eastAsia" w:ascii="宋体" w:hAnsi="宋体" w:cs="宋体"/>
          <w:sz w:val="24"/>
          <w:highlight w:val="none"/>
        </w:rPr>
        <w:t>5.4 量筒：容量分别为100 mL和10mL带有刻度的玻璃量筒。</w:t>
      </w:r>
    </w:p>
    <w:p w14:paraId="412F62BF">
      <w:pPr>
        <w:spacing w:line="360" w:lineRule="auto"/>
        <w:rPr>
          <w:rFonts w:hint="eastAsia" w:ascii="宋体" w:hAnsi="宋体" w:cs="宋体"/>
          <w:sz w:val="24"/>
          <w:highlight w:val="none"/>
        </w:rPr>
      </w:pPr>
      <w:r>
        <w:rPr>
          <w:rFonts w:hint="eastAsia" w:ascii="宋体" w:hAnsi="宋体" w:cs="宋体"/>
          <w:sz w:val="24"/>
          <w:highlight w:val="none"/>
        </w:rPr>
        <w:t>5.5搅拌容器：能满足 5 kg左右</w:t>
      </w:r>
      <w:r>
        <w:rPr>
          <w:rFonts w:hint="eastAsia" w:ascii="宋体" w:hAnsi="宋体" w:cs="宋体"/>
          <w:sz w:val="24"/>
          <w:highlight w:val="none"/>
          <w:lang w:val="en-US" w:eastAsia="zh-CN"/>
        </w:rPr>
        <w:t>散装铜渣</w:t>
      </w:r>
      <w:r>
        <w:rPr>
          <w:rFonts w:hint="eastAsia" w:ascii="宋体" w:hAnsi="宋体" w:cs="宋体"/>
          <w:sz w:val="24"/>
          <w:highlight w:val="none"/>
        </w:rPr>
        <w:t>的搅拌容器或相当大小的自动搅拌器。</w:t>
      </w:r>
    </w:p>
    <w:p w14:paraId="51EC2210">
      <w:pPr>
        <w:spacing w:line="360" w:lineRule="auto"/>
        <w:rPr>
          <w:rFonts w:hint="eastAsia" w:ascii="宋体" w:hAnsi="宋体" w:cs="宋体"/>
          <w:sz w:val="24"/>
          <w:highlight w:val="none"/>
        </w:rPr>
      </w:pPr>
      <w:r>
        <w:rPr>
          <w:rFonts w:hint="eastAsia" w:ascii="宋体" w:hAnsi="宋体" w:cs="宋体"/>
          <w:sz w:val="24"/>
          <w:highlight w:val="none"/>
        </w:rPr>
        <w:t>5.6天平：最大可称量不小于 2 kg，精确到 0.01 g。</w:t>
      </w:r>
    </w:p>
    <w:p w14:paraId="6AE39022">
      <w:pPr>
        <w:spacing w:line="360" w:lineRule="auto"/>
        <w:rPr>
          <w:rFonts w:hint="eastAsia" w:ascii="宋体" w:hAnsi="宋体" w:cs="宋体"/>
          <w:sz w:val="24"/>
          <w:highlight w:val="none"/>
        </w:rPr>
      </w:pPr>
      <w:r>
        <w:rPr>
          <w:rFonts w:hint="eastAsia" w:ascii="宋体" w:hAnsi="宋体" w:cs="宋体"/>
          <w:sz w:val="24"/>
          <w:highlight w:val="none"/>
        </w:rPr>
        <w:t>5.7烘箱：带有自动控温和鼓风装置，温度可控制在</w:t>
      </w:r>
      <w:r>
        <w:rPr>
          <w:rFonts w:hint="eastAsia" w:ascii="宋体" w:hAnsi="宋体" w:cs="宋体"/>
          <w:color w:val="000000" w:themeColor="text1"/>
          <w:sz w:val="24"/>
          <w:highlight w:val="none"/>
          <w:lang w:val="en-US" w:eastAsia="zh-CN"/>
          <w14:textFill>
            <w14:solidFill>
              <w14:schemeClr w14:val="tx1"/>
            </w14:solidFill>
          </w14:textFill>
        </w:rPr>
        <w:t>10</w:t>
      </w:r>
      <w:r>
        <w:rPr>
          <w:rFonts w:hint="eastAsia" w:ascii="宋体" w:hAnsi="宋体" w:cs="宋体"/>
          <w:color w:val="000000" w:themeColor="text1"/>
          <w:sz w:val="24"/>
          <w:highlight w:val="none"/>
          <w14:textFill>
            <w14:solidFill>
              <w14:schemeClr w14:val="tx1"/>
            </w14:solidFill>
          </w14:textFill>
        </w:rPr>
        <w:t>5℃±5℃</w:t>
      </w:r>
      <w:r>
        <w:rPr>
          <w:rFonts w:hint="eastAsia" w:ascii="宋体" w:hAnsi="宋体" w:cs="宋体"/>
          <w:sz w:val="24"/>
          <w:highlight w:val="none"/>
        </w:rPr>
        <w:t>。</w:t>
      </w:r>
    </w:p>
    <w:p w14:paraId="371D5DC4">
      <w:pPr>
        <w:spacing w:line="360" w:lineRule="auto"/>
        <w:rPr>
          <w:rFonts w:hint="eastAsia" w:ascii="宋体" w:hAnsi="宋体" w:cs="宋体"/>
          <w:sz w:val="24"/>
          <w:highlight w:val="none"/>
        </w:rPr>
      </w:pPr>
      <w:r>
        <w:rPr>
          <w:rFonts w:hint="eastAsia" w:ascii="宋体" w:hAnsi="宋体" w:cs="宋体"/>
          <w:sz w:val="24"/>
          <w:highlight w:val="none"/>
        </w:rPr>
        <w:t>5.8游标卡尺，精确到 0.1 mm。</w:t>
      </w:r>
    </w:p>
    <w:p w14:paraId="7CA2F3F4">
      <w:pPr>
        <w:spacing w:line="360" w:lineRule="auto"/>
        <w:ind w:firstLine="480" w:firstLineChars="200"/>
        <w:rPr>
          <w:rFonts w:hint="eastAsia" w:ascii="宋体" w:hAnsi="宋体" w:cs="宋体"/>
          <w:sz w:val="24"/>
          <w:highlight w:val="none"/>
        </w:rPr>
      </w:pPr>
    </w:p>
    <w:p w14:paraId="1275C9FC">
      <w:pPr>
        <w:spacing w:line="360" w:lineRule="auto"/>
        <w:rPr>
          <w:rFonts w:hint="eastAsia" w:ascii="宋体" w:hAnsi="宋体" w:cs="宋体"/>
          <w:sz w:val="24"/>
          <w:highlight w:val="none"/>
        </w:rPr>
      </w:pPr>
      <w:r>
        <w:rPr>
          <w:rFonts w:hint="eastAsia" w:ascii="宋体" w:hAnsi="宋体" w:cs="宋体"/>
          <w:b/>
          <w:bCs/>
          <w:sz w:val="24"/>
          <w:highlight w:val="none"/>
          <w:lang w:val="en-US" w:eastAsia="zh-CN"/>
        </w:rPr>
        <w:t>6</w:t>
      </w:r>
      <w:r>
        <w:rPr>
          <w:rFonts w:hint="eastAsia" w:ascii="宋体" w:hAnsi="宋体" w:cs="宋体"/>
          <w:b/>
          <w:bCs/>
          <w:sz w:val="24"/>
          <w:highlight w:val="none"/>
        </w:rPr>
        <w:t xml:space="preserve"> 试样的准备</w:t>
      </w:r>
    </w:p>
    <w:p w14:paraId="4BD28337">
      <w:pPr>
        <w:spacing w:line="360" w:lineRule="auto"/>
        <w:rPr>
          <w:rFonts w:hint="eastAsia" w:ascii="宋体" w:hAnsi="宋体" w:cs="宋体"/>
          <w:sz w:val="24"/>
          <w:highlight w:val="none"/>
        </w:rPr>
      </w:pPr>
      <w:r>
        <w:rPr>
          <w:rFonts w:hint="eastAsia" w:ascii="宋体" w:hAnsi="宋体" w:cs="宋体"/>
          <w:sz w:val="24"/>
          <w:highlight w:val="none"/>
        </w:rPr>
        <w:t>6.1一般要求试样应在不受温度、气流和湿度变化的房间中进行，试样准备阶段和试验过程在同一天内完成。另外，装试样的容器应选用密闭容器或使用塑料薄膜及其他合适的材料覆盖。为防止散装铜渣粉流态化特性可能发生的改变，制样过程中不得对样品进行破碎。</w:t>
      </w:r>
    </w:p>
    <w:p w14:paraId="6600B76F">
      <w:pPr>
        <w:spacing w:line="360" w:lineRule="auto"/>
        <w:rPr>
          <w:rFonts w:hint="eastAsia" w:ascii="宋体" w:hAnsi="宋体" w:cs="宋体"/>
          <w:sz w:val="24"/>
          <w:highlight w:val="none"/>
        </w:rPr>
      </w:pPr>
      <w:r>
        <w:rPr>
          <w:rFonts w:hint="eastAsia" w:ascii="宋体" w:hAnsi="宋体" w:cs="宋体"/>
          <w:sz w:val="24"/>
          <w:highlight w:val="none"/>
        </w:rPr>
        <w:t>6.2 试样的制备按GB/T 2007.6方法进行取制样。将代表性试样充分混匀，然后将试样分成三份，即原始水分测定试样(试样A)、预试验试样(试样B)和两次平行主体试验试样(试样C和试样D)。</w:t>
      </w:r>
    </w:p>
    <w:p w14:paraId="448A1117">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用于原始水分测定的试样量约为2 kg，对其立即称量，按GB/T </w:t>
      </w:r>
      <w:r>
        <w:rPr>
          <w:rFonts w:hint="eastAsia" w:ascii="宋体" w:hAnsi="宋体" w:cs="宋体"/>
          <w:sz w:val="24"/>
          <w:highlight w:val="none"/>
          <w:lang w:val="en-US" w:eastAsia="zh-CN"/>
        </w:rPr>
        <w:t>2007.6-1987</w:t>
      </w:r>
      <w:r>
        <w:rPr>
          <w:rFonts w:hint="eastAsia" w:ascii="宋体" w:hAnsi="宋体" w:cs="宋体"/>
          <w:sz w:val="24"/>
          <w:highlight w:val="none"/>
        </w:rPr>
        <w:t>测定试样“收到时”的水分含量。预试验及单次主试验分别需要试样的体积不少于模具容量的 3 倍，试样量因质量比不同而有所差异，分别约为 3 kg。</w:t>
      </w:r>
    </w:p>
    <w:p w14:paraId="7FBE6B2E">
      <w:pPr>
        <w:spacing w:line="360" w:lineRule="auto"/>
        <w:rPr>
          <w:rFonts w:hint="eastAsia" w:ascii="宋体" w:hAnsi="宋体" w:cs="宋体"/>
          <w:sz w:val="24"/>
          <w:highlight w:val="none"/>
        </w:rPr>
      </w:pPr>
      <w:r>
        <w:rPr>
          <w:rFonts w:hint="eastAsia" w:ascii="宋体" w:hAnsi="宋体" w:cs="宋体"/>
          <w:sz w:val="24"/>
          <w:highlight w:val="none"/>
        </w:rPr>
        <w:t>6.3 装填圆模将圆模置于流盘中心，把在搅拌容器中充分搅匀的试样分三层装填到圆模里。经捣实后的第一层应约占圆模深度的三分之一。经捣实后的第二层应约达到圆模深度的三分之二，最后一层试样经捣实后宜填至圆模顶部向下约 5 mm 左右。</w:t>
      </w:r>
    </w:p>
    <w:p w14:paraId="4722BD05">
      <w:pPr>
        <w:spacing w:line="360" w:lineRule="auto"/>
        <w:rPr>
          <w:rFonts w:hint="eastAsia" w:ascii="宋体" w:hAnsi="宋体" w:cs="宋体"/>
          <w:sz w:val="24"/>
          <w:highlight w:val="none"/>
        </w:rPr>
      </w:pPr>
      <w:r>
        <w:rPr>
          <w:rFonts w:hint="eastAsia" w:ascii="宋体" w:hAnsi="宋体" w:cs="宋体"/>
          <w:sz w:val="24"/>
          <w:highlight w:val="none"/>
        </w:rPr>
        <w:t>6.4捣实程序</w:t>
      </w:r>
    </w:p>
    <w:p w14:paraId="1ABA45A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夯实的目的是将试样压实到类似在船舱底堆装时的程度。按式（1)计算相应的压力：F =p </w:t>
      </w:r>
      <w:r>
        <w:rPr>
          <w:rFonts w:ascii="Arial" w:hAnsi="Arial" w:cs="Arial"/>
          <w:sz w:val="24"/>
          <w:highlight w:val="none"/>
        </w:rPr>
        <w:t>×</w:t>
      </w:r>
      <w:r>
        <w:rPr>
          <w:rFonts w:hint="eastAsia" w:ascii="宋体" w:hAnsi="宋体" w:cs="宋体"/>
          <w:sz w:val="24"/>
          <w:highlight w:val="none"/>
        </w:rPr>
        <w:t xml:space="preserve"> h </w:t>
      </w:r>
      <w:r>
        <w:rPr>
          <w:rFonts w:ascii="Arial" w:hAnsi="Arial" w:cs="Arial"/>
          <w:sz w:val="24"/>
          <w:highlight w:val="none"/>
        </w:rPr>
        <w:t>×</w:t>
      </w:r>
      <w:r>
        <w:rPr>
          <w:rFonts w:hint="eastAsia" w:ascii="宋体" w:hAnsi="宋体" w:cs="宋体"/>
          <w:sz w:val="24"/>
          <w:highlight w:val="none"/>
        </w:rPr>
        <w:t xml:space="preserve"> g  …… (1)</w:t>
      </w:r>
    </w:p>
    <w:p w14:paraId="770EF387">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式中：F--捣棒压力，单位为帕(Pa)；</w:t>
      </w:r>
    </w:p>
    <w:p w14:paraId="13A1766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p散装固体货物的表观密度，单位为千克每立方米(kg/m3）；</w:t>
      </w:r>
    </w:p>
    <w:p w14:paraId="34485111">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h散装固体货物在船舱内堆积的最大深度，单位为米(m);</w:t>
      </w:r>
    </w:p>
    <w:p w14:paraId="555AD87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g重力加速度(约等于 9.81 m/s2);</w:t>
      </w:r>
    </w:p>
    <w:p w14:paraId="192FE8B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计算捣棒的压力时，若无货物深度资料，则应用货物的最大可能深度。</w:t>
      </w:r>
    </w:p>
    <w:p w14:paraId="5DFE610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按式(1)调整捣棒压力对试样进行锤捣，底层锤捣35次，中层锤捣25次，上层锤捣20次，每一层均应在全部表面上连续锤捣至边缘，以形成均匀的平整表面。</w:t>
      </w:r>
    </w:p>
    <w:p w14:paraId="02DD597C">
      <w:pPr>
        <w:spacing w:line="360" w:lineRule="auto"/>
        <w:rPr>
          <w:rFonts w:hint="eastAsia" w:ascii="宋体" w:hAnsi="宋体" w:cs="宋体"/>
          <w:sz w:val="24"/>
          <w:highlight w:val="none"/>
        </w:rPr>
      </w:pPr>
      <w:r>
        <w:rPr>
          <w:rFonts w:hint="eastAsia" w:ascii="宋体" w:hAnsi="宋体" w:cs="宋体"/>
          <w:sz w:val="24"/>
          <w:highlight w:val="none"/>
        </w:rPr>
        <w:t>6.5 撤去圆模轻拍圆模四周使其松动，取出圆模，将截锥状试样留在流盘上。</w:t>
      </w:r>
    </w:p>
    <w:p w14:paraId="00BE9AE8">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7</w:t>
      </w:r>
      <w:r>
        <w:rPr>
          <w:rFonts w:hint="eastAsia" w:ascii="宋体" w:hAnsi="宋体" w:cs="宋体"/>
          <w:b/>
          <w:bCs/>
          <w:sz w:val="24"/>
          <w:highlight w:val="none"/>
        </w:rPr>
        <w:t xml:space="preserve"> 流动水分点的预备试验</w:t>
      </w:r>
    </w:p>
    <w:p w14:paraId="2B4953E2">
      <w:pPr>
        <w:spacing w:line="360" w:lineRule="auto"/>
        <w:rPr>
          <w:rFonts w:hint="eastAsia" w:ascii="宋体" w:hAnsi="宋体" w:cs="宋体"/>
          <w:sz w:val="24"/>
          <w:highlight w:val="none"/>
        </w:rPr>
      </w:pPr>
      <w:r>
        <w:rPr>
          <w:rFonts w:hint="eastAsia" w:ascii="宋体" w:hAnsi="宋体" w:cs="宋体"/>
          <w:sz w:val="24"/>
          <w:highlight w:val="none"/>
        </w:rPr>
        <w:t>7.1振动用试样B做预备试验，按照6.3</w:t>
      </w:r>
      <w:r>
        <w:rPr>
          <w:rFonts w:hint="eastAsia" w:ascii="宋体" w:hAnsi="宋体" w:cs="宋体"/>
          <w:sz w:val="24"/>
          <w:highlight w:val="none"/>
          <w:lang w:val="en-US" w:eastAsia="zh-CN"/>
        </w:rPr>
        <w:t>-</w:t>
      </w:r>
      <w:r>
        <w:rPr>
          <w:rFonts w:hint="eastAsia" w:ascii="宋体" w:hAnsi="宋体" w:cs="宋体"/>
          <w:sz w:val="24"/>
          <w:highlight w:val="none"/>
        </w:rPr>
        <w:t>6.5步骤进行试样的准备，启动流盘仪，使截锥形试样随流盘以25次/min的速率，自12.5 mm高处升落50次。</w:t>
      </w:r>
    </w:p>
    <w:p w14:paraId="3723C5E9">
      <w:pPr>
        <w:spacing w:line="360" w:lineRule="auto"/>
        <w:rPr>
          <w:rFonts w:hint="eastAsia" w:ascii="宋体" w:hAnsi="宋体" w:cs="宋体"/>
          <w:sz w:val="24"/>
          <w:highlight w:val="none"/>
        </w:rPr>
      </w:pPr>
      <w:r>
        <w:rPr>
          <w:rFonts w:hint="eastAsia" w:ascii="宋体" w:hAnsi="宋体" w:cs="宋体"/>
          <w:sz w:val="24"/>
          <w:highlight w:val="none"/>
        </w:rPr>
        <w:t>7.2 流态的识别</w:t>
      </w:r>
    </w:p>
    <w:p w14:paraId="726C46E8">
      <w:pPr>
        <w:spacing w:line="360" w:lineRule="auto"/>
        <w:rPr>
          <w:rFonts w:hint="eastAsia" w:ascii="宋体" w:hAnsi="宋体" w:cs="宋体"/>
          <w:sz w:val="24"/>
          <w:highlight w:val="none"/>
        </w:rPr>
      </w:pPr>
      <w:r>
        <w:rPr>
          <w:rFonts w:hint="eastAsia" w:ascii="宋体" w:hAnsi="宋体" w:cs="宋体"/>
          <w:sz w:val="24"/>
          <w:highlight w:val="none"/>
        </w:rPr>
        <w:t>7.2.1 当试样随着流盘的连续升落发生碎裂或松散成碎块的现象时，可判断为试样的含水量低于流动水分点。此时停止振动，将试样重新装回搅拌机容器中，并在试样表面喷洒5mL</w:t>
      </w:r>
      <w:r>
        <w:rPr>
          <w:rFonts w:hint="eastAsia" w:ascii="宋体" w:hAnsi="宋体" w:cs="宋体"/>
          <w:sz w:val="24"/>
          <w:highlight w:val="none"/>
          <w:lang w:val="en-US" w:eastAsia="zh-CN"/>
        </w:rPr>
        <w:t>-</w:t>
      </w:r>
      <w:r>
        <w:rPr>
          <w:rFonts w:hint="eastAsia" w:ascii="宋体" w:hAnsi="宋体" w:cs="宋体"/>
          <w:sz w:val="24"/>
          <w:highlight w:val="none"/>
        </w:rPr>
        <w:t>10 mL或更多的水，然后把试样搅拌均匀。重复6.3</w:t>
      </w:r>
      <w:r>
        <w:rPr>
          <w:rFonts w:hint="eastAsia" w:ascii="宋体" w:hAnsi="宋体" w:cs="宋体"/>
          <w:sz w:val="24"/>
          <w:highlight w:val="none"/>
          <w:lang w:val="en-US" w:eastAsia="zh-CN"/>
        </w:rPr>
        <w:t>-</w:t>
      </w:r>
      <w:r>
        <w:rPr>
          <w:rFonts w:hint="eastAsia" w:ascii="宋体" w:hAnsi="宋体" w:cs="宋体"/>
          <w:sz w:val="24"/>
          <w:highlight w:val="none"/>
        </w:rPr>
        <w:t>6.5 步骤，直至达到流态。</w:t>
      </w:r>
    </w:p>
    <w:p w14:paraId="3EE930E9">
      <w:pPr>
        <w:spacing w:line="360" w:lineRule="auto"/>
        <w:rPr>
          <w:rFonts w:hint="eastAsia" w:ascii="宋体" w:hAnsi="宋体" w:cs="宋体"/>
          <w:sz w:val="24"/>
          <w:highlight w:val="none"/>
        </w:rPr>
      </w:pPr>
      <w:r>
        <w:rPr>
          <w:rFonts w:hint="eastAsia" w:ascii="宋体" w:hAnsi="宋体" w:cs="宋体"/>
          <w:sz w:val="24"/>
          <w:highlight w:val="none"/>
        </w:rPr>
        <w:t>7.2.2 流盘的振动使颗粒间重新镶嵌，形成紧凑状态，使试样在某一状态下所含水分体积的百分数增加。水分在紧凑的试样中达到饱和并且试样产生塑性变形，即产生流动状态，则认为试样的含水量达到了流动水分点。这时截锥体会产生变形，形成凸面或凹面。大多数情况下测量变形有助于确定是否发生了塑性流动。以下状态作为判断试样是否达到塑性流动状态的特征之一：</w:t>
      </w:r>
    </w:p>
    <w:p w14:paraId="1306339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a) 用游标卡尺测得截锥体任何部分的直径增加3mm以上这个特征；</w:t>
      </w:r>
    </w:p>
    <w:p w14:paraId="171D67C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b) 加相当于0.4%</w:t>
      </w:r>
      <w:r>
        <w:rPr>
          <w:rFonts w:hint="eastAsia" w:ascii="宋体" w:hAnsi="宋体" w:cs="宋体"/>
          <w:sz w:val="24"/>
          <w:highlight w:val="none"/>
          <w:lang w:val="en-US" w:eastAsia="zh-CN"/>
        </w:rPr>
        <w:t>-</w:t>
      </w:r>
      <w:r>
        <w:rPr>
          <w:rFonts w:hint="eastAsia" w:ascii="宋体" w:hAnsi="宋体" w:cs="宋体"/>
          <w:sz w:val="24"/>
          <w:highlight w:val="none"/>
        </w:rPr>
        <w:t>0.5%水分含量的水，重复6.3</w:t>
      </w:r>
      <w:r>
        <w:rPr>
          <w:rFonts w:hint="eastAsia" w:ascii="宋体" w:hAnsi="宋体" w:cs="宋体"/>
          <w:sz w:val="24"/>
          <w:highlight w:val="none"/>
          <w:lang w:val="en-US" w:eastAsia="zh-CN"/>
        </w:rPr>
        <w:t>-</w:t>
      </w:r>
      <w:r>
        <w:rPr>
          <w:rFonts w:hint="eastAsia" w:ascii="宋体" w:hAnsi="宋体" w:cs="宋体"/>
          <w:sz w:val="24"/>
          <w:highlight w:val="none"/>
        </w:rPr>
        <w:t>6.5步骤，振动流盘25次，测量截锥体底部或中部直径，第一次直径会增加 1 mm</w:t>
      </w:r>
      <w:r>
        <w:rPr>
          <w:rFonts w:hint="eastAsia" w:ascii="宋体" w:hAnsi="宋体" w:cs="宋体"/>
          <w:sz w:val="24"/>
          <w:highlight w:val="none"/>
          <w:lang w:val="en-US" w:eastAsia="zh-CN"/>
        </w:rPr>
        <w:t>-</w:t>
      </w:r>
      <w:r>
        <w:rPr>
          <w:rFonts w:hint="eastAsia" w:ascii="宋体" w:hAnsi="宋体" w:cs="宋体"/>
          <w:sz w:val="24"/>
          <w:highlight w:val="none"/>
        </w:rPr>
        <w:t>5 mm，再加一次水，底部直径会增加5 mm</w:t>
      </w:r>
      <w:r>
        <w:rPr>
          <w:rFonts w:hint="eastAsia" w:ascii="宋体" w:hAnsi="宋体" w:cs="宋体"/>
          <w:sz w:val="24"/>
          <w:highlight w:val="none"/>
          <w:lang w:val="en-US" w:eastAsia="zh-CN"/>
        </w:rPr>
        <w:t>-</w:t>
      </w:r>
      <w:r>
        <w:rPr>
          <w:rFonts w:hint="eastAsia" w:ascii="宋体" w:hAnsi="宋体" w:cs="宋体"/>
          <w:sz w:val="24"/>
          <w:highlight w:val="none"/>
        </w:rPr>
        <w:t>10 mm；</w:t>
      </w:r>
    </w:p>
    <w:p w14:paraId="6FF5CC4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c) 当含水量(渐增)接近流动水分点时，截锥体会有黏结在圆模中的趋势；</w:t>
      </w:r>
    </w:p>
    <w:p w14:paraId="43AA578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d) 将截锥体推出流盘时会在流盘上留下湿痕(条迹),如果湿痕可见，则表明含水量可能超过了流动水分点，但湿痕(条迹)不可见并不表明含水量低于流动水分点。</w:t>
      </w:r>
    </w:p>
    <w:p w14:paraId="78ED5FA9">
      <w:pPr>
        <w:spacing w:line="360" w:lineRule="auto"/>
        <w:ind w:firstLine="480" w:firstLineChars="200"/>
        <w:rPr>
          <w:rFonts w:hint="eastAsia" w:ascii="宋体" w:hAnsi="宋体" w:cs="宋体"/>
          <w:sz w:val="24"/>
          <w:highlight w:val="none"/>
        </w:rPr>
      </w:pPr>
    </w:p>
    <w:p w14:paraId="457BD360">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8</w:t>
      </w:r>
      <w:r>
        <w:rPr>
          <w:rFonts w:hint="eastAsia" w:ascii="宋体" w:hAnsi="宋体" w:cs="宋体"/>
          <w:b/>
          <w:bCs/>
          <w:sz w:val="24"/>
          <w:highlight w:val="none"/>
        </w:rPr>
        <w:t xml:space="preserve"> 流动水分点的主试验</w:t>
      </w:r>
    </w:p>
    <w:p w14:paraId="3A68E2D1">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在预备试验中达到流动状态之后，将试样C和试样D的含水量调成比预备试验中未引起流化状态的最后一个含量水量低1%至2%。分别利用含水量经调整的试样C和试样D进行最后的试验，方法与预备试验相同，但每次加水的量不超过0.5%，预备试验的流动水分点越低，加水量也应越小。将从试样C和试样D取出的试样调整到开始塑性流动或稍加水后开始塑性流动时，可将圆模中的试样置于干净已知质量容器中并立即称量，并测试水分含量。否则可将其放回搅拌机容器中，继续上述步骤。此时的水分为流化状态到达之前的水分。将从试样C和试样D取出的试样调整到刚开始塑性流动之后，可将圆模中的试样置于干净已知质量容器中并立即称量，并测试水分含量。否则可将其放回搅拌机容器中，继续上述步骤。此时的水分为流化状态到达之后的水分。</w:t>
      </w:r>
    </w:p>
    <w:p w14:paraId="64D236B4">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达到流动状态前后，应分别测试试样C、试样D的各两份含水量，一份是含水量略低于流动水分点的试样，另一份为含水量略高于流动水分点的试样。两个含水量的差值应小于0.5%，并将每个试样的流动水分点取为该两个含水量的平均值。</w:t>
      </w:r>
    </w:p>
    <w:p w14:paraId="6F897BDE">
      <w:pPr>
        <w:spacing w:line="360" w:lineRule="auto"/>
        <w:ind w:firstLine="480" w:firstLineChars="200"/>
        <w:rPr>
          <w:rFonts w:hint="eastAsia" w:ascii="宋体" w:hAnsi="宋体" w:cs="宋体"/>
          <w:sz w:val="24"/>
          <w:highlight w:val="none"/>
        </w:rPr>
      </w:pPr>
    </w:p>
    <w:p w14:paraId="0861E3BF">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9</w:t>
      </w:r>
      <w:r>
        <w:rPr>
          <w:rFonts w:hint="eastAsia" w:ascii="宋体" w:hAnsi="宋体" w:cs="宋体"/>
          <w:b/>
          <w:bCs/>
          <w:sz w:val="24"/>
          <w:highlight w:val="none"/>
        </w:rPr>
        <w:t xml:space="preserve"> 流动水分点的计算</w:t>
      </w:r>
    </w:p>
    <w:p w14:paraId="2E6ABFA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流动水分点(FMP)按照</w:t>
      </w:r>
      <w:r>
        <w:rPr>
          <w:rFonts w:hint="eastAsia" w:ascii="宋体" w:hAnsi="宋体" w:cs="宋体"/>
          <w:sz w:val="24"/>
          <w:highlight w:val="none"/>
          <w:lang w:val="en-US" w:eastAsia="zh-CN"/>
        </w:rPr>
        <w:t>以</w:t>
      </w:r>
      <w:r>
        <w:rPr>
          <w:rFonts w:hint="eastAsia" w:ascii="宋体" w:hAnsi="宋体" w:cs="宋体"/>
          <w:sz w:val="24"/>
          <w:highlight w:val="none"/>
        </w:rPr>
        <w:t>下公式计算:</w:t>
      </w:r>
    </w:p>
    <w:p w14:paraId="5048068B">
      <w:pPr>
        <w:spacing w:line="360" w:lineRule="auto"/>
        <w:ind w:firstLine="480" w:firstLineChars="200"/>
        <w:rPr>
          <w:rFonts w:hint="eastAsia" w:ascii="宋体" w:hAnsi="宋体" w:cs="宋体"/>
          <w:sz w:val="24"/>
          <w:highlight w:val="none"/>
        </w:rPr>
      </w:pPr>
      <w:r>
        <w:rPr>
          <w:rFonts w:ascii="宋体" w:hAnsi="宋体" w:cs="宋体"/>
          <w:sz w:val="24"/>
          <w:highlight w:val="none"/>
        </w:rPr>
        <w:drawing>
          <wp:inline distT="0" distB="0" distL="0" distR="0">
            <wp:extent cx="4005580" cy="976630"/>
            <wp:effectExtent l="0" t="0" r="0" b="0"/>
            <wp:docPr id="838959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59364"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05580" cy="976630"/>
                    </a:xfrm>
                    <a:prstGeom prst="rect">
                      <a:avLst/>
                    </a:prstGeom>
                    <a:noFill/>
                    <a:ln>
                      <a:noFill/>
                    </a:ln>
                  </pic:spPr>
                </pic:pic>
              </a:graphicData>
            </a:graphic>
          </wp:inline>
        </w:drawing>
      </w:r>
    </w:p>
    <w:p w14:paraId="762FF343">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式中：</w:t>
      </w:r>
    </w:p>
    <w:p w14:paraId="2894395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FMP试样的流动水分点的质量分数,计算结果保留至小数点后两位；</w:t>
      </w:r>
    </w:p>
    <w:p w14:paraId="59689CF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m1试样刚达到流动水分点后的质量,单位为克(g)；</w:t>
      </w:r>
    </w:p>
    <w:p w14:paraId="1D599754">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m2试样刚达到流动水分点后烘干后的质量,单位为克(g)；</w:t>
      </w:r>
    </w:p>
    <w:p w14:paraId="110F39D3">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m 3试样刚达到流动水分点前的质量,单位为克(g)；</w:t>
      </w:r>
    </w:p>
    <w:p w14:paraId="102A11F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m4试样刚达到流动水分点前烘干后的质量,单位为克(g)。</w:t>
      </w:r>
    </w:p>
    <w:p w14:paraId="39011BE9">
      <w:pPr>
        <w:spacing w:line="360" w:lineRule="auto"/>
        <w:ind w:firstLine="480" w:firstLineChars="200"/>
        <w:rPr>
          <w:rFonts w:hint="eastAsia" w:ascii="宋体" w:hAnsi="宋体" w:cs="宋体"/>
          <w:sz w:val="24"/>
          <w:highlight w:val="none"/>
        </w:rPr>
      </w:pPr>
    </w:p>
    <w:p w14:paraId="7A987CED">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10</w:t>
      </w:r>
      <w:r>
        <w:rPr>
          <w:rFonts w:hint="eastAsia" w:ascii="宋体" w:hAnsi="宋体" w:cs="宋体"/>
          <w:b/>
          <w:bCs/>
          <w:sz w:val="24"/>
          <w:highlight w:val="none"/>
        </w:rPr>
        <w:t xml:space="preserve"> 适运水分限量(TML)的计算</w:t>
      </w:r>
    </w:p>
    <w:p w14:paraId="46FD94A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按式(3)计算适运水分限量(TML):</w:t>
      </w:r>
    </w:p>
    <w:p w14:paraId="093C643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TML=FMPX90%(3)</w:t>
      </w:r>
    </w:p>
    <w:p w14:paraId="6CDD8FD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式中：</w:t>
      </w:r>
    </w:p>
    <w:p w14:paraId="0AE4CAC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TML适运水分限量的质量分数,计算结果保留至小数点后两位；</w:t>
      </w:r>
    </w:p>
    <w:p w14:paraId="0643343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FMP试样的平均流动水分点的质量分数,%,取试样C和试样D两次试验结果的平均值。</w:t>
      </w:r>
    </w:p>
    <w:p w14:paraId="5B37F81A">
      <w:pPr>
        <w:spacing w:line="360" w:lineRule="auto"/>
        <w:ind w:firstLine="480" w:firstLineChars="200"/>
        <w:rPr>
          <w:rFonts w:hint="eastAsia" w:ascii="宋体" w:hAnsi="宋体" w:cs="宋体"/>
          <w:sz w:val="24"/>
          <w:highlight w:val="none"/>
        </w:rPr>
      </w:pPr>
    </w:p>
    <w:p w14:paraId="0D35E586">
      <w:pPr>
        <w:spacing w:line="360" w:lineRule="auto"/>
        <w:rPr>
          <w:rFonts w:hint="eastAsia" w:ascii="宋体" w:hAnsi="宋体" w:cs="宋体"/>
          <w:b/>
          <w:bCs/>
          <w:sz w:val="24"/>
          <w:highlight w:val="none"/>
        </w:rPr>
      </w:pPr>
      <w:r>
        <w:rPr>
          <w:rFonts w:hint="eastAsia" w:ascii="宋体" w:hAnsi="宋体" w:cs="宋体"/>
          <w:b/>
          <w:bCs/>
          <w:sz w:val="24"/>
          <w:highlight w:val="none"/>
          <w:lang w:val="en-US" w:eastAsia="zh-CN"/>
        </w:rPr>
        <w:t>11</w:t>
      </w:r>
      <w:r>
        <w:rPr>
          <w:rFonts w:hint="eastAsia" w:ascii="宋体" w:hAnsi="宋体" w:cs="宋体"/>
          <w:b/>
          <w:bCs/>
          <w:sz w:val="24"/>
          <w:highlight w:val="none"/>
        </w:rPr>
        <w:t xml:space="preserve"> 精密度</w:t>
      </w:r>
    </w:p>
    <w:p w14:paraId="67B3049E">
      <w:pPr>
        <w:spacing w:line="360" w:lineRule="auto"/>
        <w:rPr>
          <w:rFonts w:hint="eastAsia" w:ascii="宋体" w:hAnsi="宋体" w:cs="宋体"/>
          <w:sz w:val="24"/>
          <w:highlight w:val="none"/>
        </w:rPr>
      </w:pPr>
      <w:r>
        <w:rPr>
          <w:rFonts w:hint="eastAsia" w:ascii="宋体" w:hAnsi="宋体" w:cs="宋体"/>
          <w:sz w:val="24"/>
          <w:highlight w:val="none"/>
        </w:rPr>
        <w:t>由7个实验室对试样进行了精密度试验，重复性限r=0.5%,再现性限R=1.0%</w:t>
      </w:r>
    </w:p>
    <w:p w14:paraId="59C5116A">
      <w:pPr>
        <w:spacing w:line="360" w:lineRule="auto"/>
        <w:rPr>
          <w:rFonts w:hint="eastAsia" w:ascii="宋体" w:hAnsi="宋体" w:cs="宋体"/>
          <w:sz w:val="24"/>
        </w:rPr>
      </w:pPr>
    </w:p>
    <w:p w14:paraId="7839FE8C">
      <w:pPr>
        <w:spacing w:line="360" w:lineRule="auto"/>
        <w:rPr>
          <w:rFonts w:hint="eastAsia" w:ascii="宋体" w:hAnsi="宋体" w:cs="宋体"/>
          <w:sz w:val="24"/>
        </w:rPr>
      </w:pPr>
    </w:p>
    <w:p w14:paraId="63E74867">
      <w:pPr>
        <w:spacing w:line="360" w:lineRule="auto"/>
        <w:rPr>
          <w:rFonts w:hint="eastAsia" w:ascii="宋体" w:hAnsi="宋体" w:cs="宋体"/>
          <w:sz w:val="24"/>
        </w:rPr>
      </w:pPr>
    </w:p>
    <w:p w14:paraId="3AD187E3">
      <w:pPr>
        <w:spacing w:line="360" w:lineRule="auto"/>
        <w:rPr>
          <w:rFonts w:hint="eastAsia" w:ascii="宋体" w:hAnsi="宋体" w:cs="宋体"/>
          <w:sz w:val="24"/>
        </w:rPr>
      </w:pPr>
    </w:p>
    <w:p w14:paraId="1356DB98">
      <w:pPr>
        <w:spacing w:line="360" w:lineRule="auto"/>
        <w:rPr>
          <w:rFonts w:hint="eastAsia" w:ascii="宋体" w:hAnsi="宋体" w:cs="宋体"/>
          <w:sz w:val="24"/>
        </w:rPr>
      </w:pPr>
    </w:p>
    <w:p w14:paraId="06331EAE">
      <w:pPr>
        <w:spacing w:line="360" w:lineRule="auto"/>
        <w:rPr>
          <w:rFonts w:hint="eastAsia" w:ascii="宋体" w:hAnsi="宋体" w:cs="宋体"/>
          <w:sz w:val="24"/>
        </w:rPr>
      </w:pPr>
    </w:p>
    <w:p w14:paraId="722C9F1F">
      <w:pPr>
        <w:spacing w:line="360" w:lineRule="auto"/>
        <w:rPr>
          <w:rFonts w:hint="eastAsia" w:ascii="宋体" w:hAnsi="宋体" w:cs="宋体"/>
          <w:sz w:val="24"/>
        </w:rPr>
      </w:pPr>
    </w:p>
    <w:p w14:paraId="34E16505">
      <w:pPr>
        <w:spacing w:line="360" w:lineRule="auto"/>
        <w:rPr>
          <w:rFonts w:hint="eastAsia" w:ascii="宋体" w:hAnsi="宋体" w:cs="宋体"/>
          <w:sz w:val="24"/>
        </w:rPr>
      </w:pPr>
      <w:bookmarkStart w:id="30" w:name="_GoBack"/>
      <w:bookmarkEnd w:id="30"/>
    </w:p>
    <w:p w14:paraId="45ED34ED">
      <w:pPr>
        <w:spacing w:line="360" w:lineRule="auto"/>
        <w:rPr>
          <w:rFonts w:hint="eastAsia" w:ascii="宋体" w:hAnsi="宋体" w:cs="宋体"/>
          <w:sz w:val="24"/>
        </w:rPr>
      </w:pPr>
    </w:p>
    <w:p w14:paraId="38144635">
      <w:pPr>
        <w:spacing w:line="360" w:lineRule="auto"/>
        <w:rPr>
          <w:rFonts w:hint="eastAsia" w:ascii="宋体" w:hAnsi="宋体" w:cs="宋体"/>
          <w:sz w:val="24"/>
        </w:rPr>
      </w:pPr>
    </w:p>
    <w:p w14:paraId="7CD63E7C">
      <w:pPr>
        <w:spacing w:line="360" w:lineRule="auto"/>
        <w:rPr>
          <w:rFonts w:hint="eastAsia" w:ascii="宋体" w:hAnsi="宋体" w:cs="宋体"/>
          <w:sz w:val="24"/>
        </w:rPr>
      </w:pPr>
    </w:p>
    <w:p w14:paraId="42281614">
      <w:pPr>
        <w:spacing w:line="360" w:lineRule="auto"/>
        <w:rPr>
          <w:rFonts w:hint="eastAsia" w:ascii="宋体" w:hAnsi="宋体" w:cs="宋体"/>
          <w:sz w:val="24"/>
        </w:rPr>
      </w:pPr>
    </w:p>
    <w:p w14:paraId="6B4BC9D8">
      <w:pPr>
        <w:spacing w:line="360" w:lineRule="auto"/>
        <w:rPr>
          <w:rFonts w:hint="eastAsia" w:ascii="宋体" w:hAnsi="宋体" w:cs="宋体"/>
          <w:sz w:val="24"/>
        </w:rPr>
      </w:pPr>
    </w:p>
    <w:p w14:paraId="6E5FF196">
      <w:pPr>
        <w:spacing w:line="360" w:lineRule="auto"/>
        <w:rPr>
          <w:rFonts w:hint="eastAsia" w:ascii="宋体" w:hAnsi="宋体" w:cs="宋体"/>
          <w:sz w:val="24"/>
        </w:rPr>
      </w:pPr>
    </w:p>
    <w:p w14:paraId="550467AE">
      <w:pPr>
        <w:spacing w:line="360" w:lineRule="auto"/>
        <w:rPr>
          <w:rFonts w:hint="eastAsia" w:ascii="宋体" w:hAnsi="宋体" w:cs="宋体"/>
          <w:sz w:val="24"/>
        </w:rPr>
      </w:pPr>
    </w:p>
    <w:p w14:paraId="4F1CCE90">
      <w:pPr>
        <w:spacing w:line="360" w:lineRule="auto"/>
        <w:rPr>
          <w:rFonts w:hint="eastAsia" w:ascii="宋体" w:hAnsi="宋体" w:cs="宋体"/>
          <w:sz w:val="24"/>
        </w:rPr>
      </w:pPr>
    </w:p>
    <w:p w14:paraId="085CD928">
      <w:pPr>
        <w:spacing w:line="360" w:lineRule="auto"/>
        <w:rPr>
          <w:rFonts w:hint="eastAsia" w:ascii="宋体" w:hAnsi="宋体" w:cs="宋体"/>
          <w:sz w:val="24"/>
        </w:rPr>
      </w:pPr>
    </w:p>
    <w:p w14:paraId="13D5319C">
      <w:pPr>
        <w:spacing w:line="360" w:lineRule="auto"/>
        <w:rPr>
          <w:rFonts w:hint="eastAsia" w:ascii="宋体" w:hAnsi="宋体" w:cs="宋体"/>
          <w:sz w:val="24"/>
        </w:rPr>
      </w:pPr>
    </w:p>
    <w:p w14:paraId="4E3BCCCD">
      <w:pPr>
        <w:spacing w:line="360" w:lineRule="auto"/>
        <w:rPr>
          <w:rFonts w:hint="eastAsia" w:ascii="宋体" w:hAnsi="宋体" w:cs="宋体"/>
          <w:sz w:val="24"/>
        </w:rPr>
      </w:pPr>
    </w:p>
    <w:p w14:paraId="04DCFD45">
      <w:pPr>
        <w:spacing w:line="360" w:lineRule="auto"/>
        <w:rPr>
          <w:rFonts w:hint="eastAsia" w:ascii="宋体" w:hAnsi="宋体" w:cs="宋体"/>
          <w:sz w:val="24"/>
        </w:rPr>
      </w:pPr>
    </w:p>
    <w:p w14:paraId="34FC2D37">
      <w:pPr>
        <w:spacing w:line="360" w:lineRule="auto"/>
        <w:rPr>
          <w:rFonts w:hint="eastAsia" w:ascii="宋体" w:hAnsi="宋体" w:cs="宋体"/>
          <w:sz w:val="24"/>
        </w:rPr>
      </w:pPr>
    </w:p>
    <w:p w14:paraId="16E3E0FF">
      <w:pPr>
        <w:spacing w:line="360" w:lineRule="auto"/>
        <w:rPr>
          <w:rFonts w:hint="eastAsia" w:ascii="宋体" w:hAnsi="宋体" w:cs="宋体"/>
          <w:sz w:val="24"/>
        </w:rPr>
      </w:pPr>
    </w:p>
    <w:p w14:paraId="3F3B6769">
      <w:pPr>
        <w:spacing w:line="360" w:lineRule="auto"/>
        <w:jc w:val="center"/>
        <w:rPr>
          <w:rFonts w:hint="eastAsia" w:ascii="宋体" w:hAnsi="宋体" w:cs="宋体"/>
          <w:sz w:val="24"/>
        </w:rPr>
      </w:pPr>
      <w:r>
        <w:rPr>
          <w:rFonts w:hint="eastAsia" w:ascii="宋体" w:hAnsi="宋体" w:cs="宋体"/>
          <w:sz w:val="24"/>
        </w:rPr>
        <w:t>附录 A</w:t>
      </w:r>
    </w:p>
    <w:p w14:paraId="64FAF9A3">
      <w:pPr>
        <w:spacing w:line="360" w:lineRule="auto"/>
        <w:jc w:val="center"/>
        <w:rPr>
          <w:rFonts w:hint="eastAsia" w:ascii="宋体" w:hAnsi="宋体" w:cs="宋体"/>
          <w:sz w:val="24"/>
        </w:rPr>
      </w:pPr>
      <w:r>
        <w:rPr>
          <w:rFonts w:hint="eastAsia" w:ascii="宋体" w:hAnsi="宋体" w:cs="宋体"/>
          <w:sz w:val="24"/>
        </w:rPr>
        <w:t>（规范性附录）</w:t>
      </w:r>
    </w:p>
    <w:p w14:paraId="0B47E1E5">
      <w:pPr>
        <w:spacing w:line="360" w:lineRule="auto"/>
        <w:jc w:val="center"/>
        <w:rPr>
          <w:rFonts w:hint="eastAsia" w:ascii="宋体" w:hAnsi="宋体" w:cs="宋体"/>
          <w:sz w:val="24"/>
        </w:rPr>
      </w:pPr>
      <w:r>
        <w:rPr>
          <w:rFonts w:hint="eastAsia" w:ascii="宋体" w:hAnsi="宋体" w:cs="宋体"/>
          <w:sz w:val="24"/>
        </w:rPr>
        <w:t>流盘仪</w:t>
      </w:r>
    </w:p>
    <w:p w14:paraId="5FB1D572">
      <w:pPr>
        <w:spacing w:line="360" w:lineRule="auto"/>
        <w:rPr>
          <w:rFonts w:hint="eastAsia" w:ascii="宋体" w:hAnsi="宋体" w:cs="宋体"/>
          <w:sz w:val="24"/>
        </w:rPr>
      </w:pPr>
    </w:p>
    <w:p w14:paraId="44566CA7">
      <w:pPr>
        <w:spacing w:line="360" w:lineRule="auto"/>
        <w:jc w:val="center"/>
        <w:rPr>
          <w:rFonts w:hint="eastAsia" w:ascii="宋体" w:hAnsi="宋体" w:cs="宋体"/>
          <w:sz w:val="24"/>
        </w:rPr>
      </w:pPr>
      <w:r>
        <w:rPr>
          <w:rFonts w:ascii="宋体" w:hAnsi="宋体" w:cs="宋体"/>
          <w:sz w:val="24"/>
        </w:rPr>
        <w:drawing>
          <wp:inline distT="0" distB="0" distL="0" distR="0">
            <wp:extent cx="5693410" cy="6772275"/>
            <wp:effectExtent l="0" t="0" r="2540" b="0"/>
            <wp:docPr id="224418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8687"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03840" cy="6784256"/>
                    </a:xfrm>
                    <a:prstGeom prst="rect">
                      <a:avLst/>
                    </a:prstGeom>
                    <a:noFill/>
                    <a:ln>
                      <a:noFill/>
                    </a:ln>
                  </pic:spPr>
                </pic:pic>
              </a:graphicData>
            </a:graphic>
          </wp:inline>
        </w:drawing>
      </w:r>
    </w:p>
    <w:p w14:paraId="42930E45">
      <w:pPr>
        <w:spacing w:line="360" w:lineRule="auto"/>
        <w:jc w:val="center"/>
        <w:rPr>
          <w:rFonts w:hint="eastAsia" w:ascii="宋体" w:hAnsi="宋体" w:cs="宋体"/>
          <w:sz w:val="24"/>
        </w:rPr>
      </w:pPr>
    </w:p>
    <w:p w14:paraId="1E975179">
      <w:pPr>
        <w:spacing w:line="360" w:lineRule="auto"/>
        <w:jc w:val="center"/>
        <w:rPr>
          <w:rFonts w:hint="eastAsia" w:ascii="宋体" w:hAnsi="宋体" w:cs="宋体"/>
          <w:sz w:val="24"/>
        </w:rPr>
      </w:pPr>
    </w:p>
    <w:p w14:paraId="2E1D51B8">
      <w:pPr>
        <w:spacing w:line="360" w:lineRule="auto"/>
        <w:jc w:val="center"/>
        <w:rPr>
          <w:rFonts w:hint="eastAsia" w:ascii="宋体" w:hAnsi="宋体" w:cs="宋体"/>
          <w:sz w:val="24"/>
        </w:rPr>
      </w:pPr>
    </w:p>
    <w:p w14:paraId="35D4D39D">
      <w:pPr>
        <w:spacing w:line="360" w:lineRule="auto"/>
        <w:jc w:val="center"/>
        <w:rPr>
          <w:rFonts w:hint="eastAsia" w:ascii="宋体" w:hAnsi="宋体" w:cs="宋体"/>
          <w:sz w:val="24"/>
        </w:rPr>
      </w:pPr>
    </w:p>
    <w:p w14:paraId="40C70AB9">
      <w:pPr>
        <w:spacing w:line="360" w:lineRule="auto"/>
        <w:jc w:val="left"/>
        <w:rPr>
          <w:rFonts w:hint="eastAsia" w:ascii="宋体" w:hAnsi="宋体" w:cs="宋体"/>
          <w:sz w:val="24"/>
        </w:rPr>
      </w:pPr>
      <w:r>
        <w:drawing>
          <wp:inline distT="0" distB="0" distL="0" distR="0">
            <wp:extent cx="5649595" cy="7576820"/>
            <wp:effectExtent l="0" t="0" r="8255" b="5080"/>
            <wp:docPr id="1618001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01816" name="图片 1"/>
                    <pic:cNvPicPr>
                      <a:picLocks noChangeAspect="1"/>
                    </pic:cNvPicPr>
                  </pic:nvPicPr>
                  <pic:blipFill>
                    <a:blip r:embed="rId17"/>
                    <a:stretch>
                      <a:fillRect/>
                    </a:stretch>
                  </pic:blipFill>
                  <pic:spPr>
                    <a:xfrm>
                      <a:off x="0" y="0"/>
                      <a:ext cx="5659102" cy="7589300"/>
                    </a:xfrm>
                    <a:prstGeom prst="rect">
                      <a:avLst/>
                    </a:prstGeom>
                  </pic:spPr>
                </pic:pic>
              </a:graphicData>
            </a:graphic>
          </wp:inline>
        </w:drawing>
      </w:r>
    </w:p>
    <w:p w14:paraId="2EF32922">
      <w:pPr>
        <w:spacing w:line="360" w:lineRule="auto"/>
        <w:jc w:val="left"/>
        <w:rPr>
          <w:rFonts w:hint="eastAsia" w:ascii="宋体" w:hAnsi="宋体" w:cs="宋体"/>
          <w:sz w:val="24"/>
        </w:rPr>
      </w:pPr>
    </w:p>
    <w:p w14:paraId="417DD398">
      <w:pPr>
        <w:spacing w:line="360" w:lineRule="auto"/>
        <w:jc w:val="left"/>
        <w:rPr>
          <w:rFonts w:hint="eastAsia" w:ascii="宋体" w:hAnsi="宋体" w:cs="宋体"/>
          <w:sz w:val="24"/>
        </w:rPr>
      </w:pPr>
    </w:p>
    <w:p w14:paraId="132B4AAF">
      <w:pPr>
        <w:spacing w:line="360" w:lineRule="auto"/>
        <w:jc w:val="left"/>
        <w:rPr>
          <w:rFonts w:hint="eastAsia" w:ascii="宋体" w:hAnsi="宋体" w:cs="宋体"/>
          <w:sz w:val="24"/>
        </w:rPr>
      </w:pPr>
    </w:p>
    <w:p w14:paraId="7EDCD497">
      <w:pPr>
        <w:spacing w:line="360" w:lineRule="auto"/>
        <w:jc w:val="left"/>
        <w:rPr>
          <w:rFonts w:hint="eastAsia" w:ascii="宋体" w:hAnsi="宋体" w:cs="宋体"/>
          <w:sz w:val="24"/>
        </w:rPr>
      </w:pPr>
      <w:r>
        <w:rPr>
          <w:rFonts w:ascii="宋体" w:hAnsi="宋体" w:cs="宋体"/>
          <w:sz w:val="24"/>
        </w:rPr>
        <w:drawing>
          <wp:inline distT="0" distB="0" distL="0" distR="0">
            <wp:extent cx="5529580" cy="7100570"/>
            <wp:effectExtent l="0" t="0" r="0" b="5080"/>
            <wp:docPr id="19186395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39566"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48310" cy="7124629"/>
                    </a:xfrm>
                    <a:prstGeom prst="rect">
                      <a:avLst/>
                    </a:prstGeom>
                    <a:noFill/>
                    <a:ln>
                      <a:noFill/>
                    </a:ln>
                  </pic:spPr>
                </pic:pic>
              </a:graphicData>
            </a:graphic>
          </wp:inline>
        </w:drawing>
      </w:r>
    </w:p>
    <w:p w14:paraId="78D4ADD2">
      <w:pPr>
        <w:spacing w:line="360" w:lineRule="auto"/>
        <w:jc w:val="left"/>
        <w:rPr>
          <w:rFonts w:hint="eastAsia" w:ascii="宋体" w:hAnsi="宋体" w:cs="宋体"/>
          <w:sz w:val="24"/>
        </w:rPr>
      </w:pPr>
    </w:p>
    <w:p w14:paraId="121D52FE">
      <w:pPr>
        <w:spacing w:line="360" w:lineRule="auto"/>
        <w:jc w:val="left"/>
        <w:rPr>
          <w:rFonts w:hint="eastAsia" w:ascii="宋体" w:hAnsi="宋体" w:cs="宋体"/>
          <w:sz w:val="24"/>
        </w:rPr>
      </w:pPr>
    </w:p>
    <w:p w14:paraId="0A059DF0">
      <w:pPr>
        <w:spacing w:line="360" w:lineRule="auto"/>
        <w:jc w:val="left"/>
        <w:rPr>
          <w:rFonts w:hint="eastAsia" w:ascii="宋体" w:hAnsi="宋体" w:cs="宋体"/>
          <w:sz w:val="24"/>
        </w:rPr>
      </w:pPr>
    </w:p>
    <w:p w14:paraId="1488B47E">
      <w:pPr>
        <w:spacing w:line="360" w:lineRule="auto"/>
        <w:jc w:val="left"/>
        <w:rPr>
          <w:rFonts w:hint="eastAsia" w:ascii="宋体" w:hAnsi="宋体" w:cs="宋体"/>
          <w:sz w:val="24"/>
        </w:rPr>
      </w:pPr>
    </w:p>
    <w:p w14:paraId="5B80F101">
      <w:pPr>
        <w:spacing w:line="360" w:lineRule="auto"/>
        <w:jc w:val="left"/>
        <w:rPr>
          <w:rFonts w:hint="eastAsia" w:ascii="宋体" w:hAnsi="宋体" w:cs="宋体"/>
          <w:sz w:val="24"/>
        </w:rPr>
      </w:pPr>
    </w:p>
    <w:p w14:paraId="7CAAAC25">
      <w:pPr>
        <w:spacing w:line="360" w:lineRule="auto"/>
        <w:jc w:val="left"/>
        <w:rPr>
          <w:rFonts w:hint="eastAsia" w:ascii="宋体" w:hAnsi="宋体" w:cs="宋体"/>
          <w:sz w:val="24"/>
        </w:rPr>
      </w:pPr>
      <w:r>
        <w:drawing>
          <wp:inline distT="0" distB="0" distL="0" distR="0">
            <wp:extent cx="5360670" cy="7395845"/>
            <wp:effectExtent l="0" t="0" r="0" b="0"/>
            <wp:docPr id="1237749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49778" name="图片 1"/>
                    <pic:cNvPicPr>
                      <a:picLocks noChangeAspect="1"/>
                    </pic:cNvPicPr>
                  </pic:nvPicPr>
                  <pic:blipFill>
                    <a:blip r:embed="rId19"/>
                    <a:stretch>
                      <a:fillRect/>
                    </a:stretch>
                  </pic:blipFill>
                  <pic:spPr>
                    <a:xfrm>
                      <a:off x="0" y="0"/>
                      <a:ext cx="5363280" cy="7399208"/>
                    </a:xfrm>
                    <a:prstGeom prst="rect">
                      <a:avLst/>
                    </a:prstGeom>
                  </pic:spPr>
                </pic:pic>
              </a:graphicData>
            </a:graphic>
          </wp:inline>
        </w:drawing>
      </w:r>
    </w:p>
    <w:p w14:paraId="3A9B0027">
      <w:pPr>
        <w:spacing w:line="360" w:lineRule="auto"/>
        <w:jc w:val="left"/>
        <w:rPr>
          <w:rFonts w:hint="eastAsia" w:ascii="宋体" w:hAnsi="宋体" w:cs="宋体"/>
          <w:sz w:val="24"/>
        </w:rPr>
      </w:pPr>
    </w:p>
    <w:p w14:paraId="6761A39E">
      <w:pPr>
        <w:spacing w:line="360" w:lineRule="auto"/>
        <w:jc w:val="left"/>
        <w:rPr>
          <w:rFonts w:hint="eastAsia" w:ascii="宋体" w:hAnsi="宋体" w:cs="宋体"/>
          <w:sz w:val="24"/>
        </w:rPr>
      </w:pPr>
    </w:p>
    <w:p w14:paraId="46A35F70">
      <w:pPr>
        <w:spacing w:line="360" w:lineRule="auto"/>
        <w:jc w:val="center"/>
        <w:rPr>
          <w:rFonts w:hint="eastAsia" w:ascii="宋体" w:hAnsi="宋体" w:cs="宋体"/>
          <w:sz w:val="24"/>
        </w:rPr>
      </w:pPr>
      <w:r>
        <w:rPr>
          <w:rFonts w:hint="eastAsia" w:ascii="宋体" w:hAnsi="宋体" w:cs="宋体"/>
          <w:sz w:val="24"/>
        </w:rPr>
        <w:t>附录B</w:t>
      </w:r>
    </w:p>
    <w:p w14:paraId="04911EB6">
      <w:pPr>
        <w:spacing w:line="360" w:lineRule="auto"/>
        <w:jc w:val="center"/>
        <w:rPr>
          <w:rFonts w:hint="eastAsia" w:ascii="宋体" w:hAnsi="宋体" w:cs="宋体"/>
          <w:sz w:val="24"/>
        </w:rPr>
      </w:pPr>
      <w:r>
        <w:rPr>
          <w:rFonts w:hint="eastAsia" w:ascii="宋体" w:hAnsi="宋体" w:cs="宋体"/>
          <w:sz w:val="24"/>
        </w:rPr>
        <w:t>（规范性附录）</w:t>
      </w:r>
    </w:p>
    <w:p w14:paraId="4E53E97C">
      <w:pPr>
        <w:spacing w:line="360" w:lineRule="auto"/>
        <w:jc w:val="center"/>
        <w:rPr>
          <w:rFonts w:hint="eastAsia" w:ascii="宋体" w:hAnsi="宋体" w:cs="宋体"/>
          <w:sz w:val="24"/>
        </w:rPr>
      </w:pPr>
      <w:r>
        <w:rPr>
          <w:rFonts w:hint="eastAsia" w:ascii="宋体" w:hAnsi="宋体" w:cs="宋体"/>
          <w:sz w:val="24"/>
        </w:rPr>
        <w:t>夯实压力的计算</w:t>
      </w:r>
    </w:p>
    <w:p w14:paraId="04310AD3">
      <w:pPr>
        <w:spacing w:line="360" w:lineRule="auto"/>
        <w:jc w:val="left"/>
        <w:rPr>
          <w:rFonts w:hint="eastAsia" w:ascii="宋体" w:hAnsi="宋体" w:cs="宋体"/>
          <w:sz w:val="24"/>
        </w:rPr>
      </w:pPr>
    </w:p>
    <w:p w14:paraId="6878ECC8">
      <w:pPr>
        <w:spacing w:line="360" w:lineRule="auto"/>
        <w:jc w:val="left"/>
        <w:rPr>
          <w:rFonts w:hint="eastAsia" w:ascii="宋体" w:hAnsi="宋体" w:cs="宋体"/>
          <w:sz w:val="24"/>
        </w:rPr>
      </w:pPr>
      <w:r>
        <w:rPr>
          <w:rFonts w:ascii="宋体" w:hAnsi="宋体" w:cs="宋体"/>
          <w:sz w:val="24"/>
        </w:rPr>
        <w:drawing>
          <wp:inline distT="0" distB="0" distL="0" distR="0">
            <wp:extent cx="5380355" cy="2957195"/>
            <wp:effectExtent l="0" t="0" r="0" b="0"/>
            <wp:docPr id="21203440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44068"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93755" cy="2964641"/>
                    </a:xfrm>
                    <a:prstGeom prst="rect">
                      <a:avLst/>
                    </a:prstGeom>
                    <a:noFill/>
                    <a:ln>
                      <a:noFill/>
                    </a:ln>
                  </pic:spPr>
                </pic:pic>
              </a:graphicData>
            </a:graphic>
          </wp:inline>
        </w:drawing>
      </w:r>
    </w:p>
    <w:p w14:paraId="1CC3612A">
      <w:pPr>
        <w:spacing w:line="360" w:lineRule="auto"/>
      </w:pPr>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A25A2">
    <w:pPr>
      <w:pStyle w:val="1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3ACA6">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73BCC">
    <w:pPr>
      <w:pStyle w:val="52"/>
    </w:pPr>
    <w:r>
      <w:fldChar w:fldCharType="begin"/>
    </w:r>
    <w:r>
      <w:instrText xml:space="preserve">PAGE   \* MERGEFORMAT</w:instrText>
    </w:r>
    <w:r>
      <w:fldChar w:fldCharType="separate"/>
    </w:r>
    <w:r>
      <w:rPr>
        <w:lang w:val="zh-CN"/>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14798">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72748">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73726">
    <w:pPr>
      <w:pStyle w:val="61"/>
      <w:rPr>
        <w:rFonts w:hint="eastAsia"/>
      </w:rPr>
    </w:pPr>
    <w:r>
      <w:fldChar w:fldCharType="begin"/>
    </w:r>
    <w:r>
      <w:instrText xml:space="preserve"> STYLEREF  标准文件_文件编号  \* MERGEFORMAT </w:instrText>
    </w:r>
    <w:r>
      <w:fldChar w:fldCharType="separate"/>
    </w:r>
    <w:r>
      <w:t>T/CIQA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FCC71">
    <w:pPr>
      <w:pStyle w:val="18"/>
      <w:jc w:val="right"/>
    </w:pPr>
    <w:r>
      <w:fldChar w:fldCharType="begin"/>
    </w:r>
    <w:r>
      <w:instrText xml:space="preserve"> STYLEREF  标准文件_文件编号  \* MERGEFORMAT </w:instrText>
    </w:r>
    <w:r>
      <w:fldChar w:fldCharType="separate"/>
    </w:r>
    <w:r>
      <w:t>T/CIQA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3827"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2693"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3969"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dit="forms" w:enforcement="1" w:cryptProviderType="rsaAES" w:cryptAlgorithmClass="hash" w:cryptAlgorithmType="typeAny" w:cryptAlgorithmSid="14" w:cryptSpinCount="100000" w:hash="XqgusTLjrL12YQYFRJ4eNI9J63velkjGaUZHP/qnH55N0I8lTO55walzBEvr4ybPsmFWgfacUBBQz8nYHiN7dA==" w:salt="Mr2tNESWKOMNSG4RjrnDjQ=="/>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5YmVmZTU4ZmExNDU3MTk4NTk2N2QxYzNiMzFhODEifQ=="/>
  </w:docVars>
  <w:rsids>
    <w:rsidRoot w:val="000624AE"/>
    <w:rsid w:val="0000040A"/>
    <w:rsid w:val="00000A94"/>
    <w:rsid w:val="00001972"/>
    <w:rsid w:val="00001D9A"/>
    <w:rsid w:val="00007B3A"/>
    <w:rsid w:val="000107E0"/>
    <w:rsid w:val="00010AA7"/>
    <w:rsid w:val="00011FDE"/>
    <w:rsid w:val="00012FFD"/>
    <w:rsid w:val="00014162"/>
    <w:rsid w:val="00014340"/>
    <w:rsid w:val="00016A9C"/>
    <w:rsid w:val="0002012B"/>
    <w:rsid w:val="00022184"/>
    <w:rsid w:val="00022762"/>
    <w:rsid w:val="000238E0"/>
    <w:rsid w:val="00023C6F"/>
    <w:rsid w:val="000249DB"/>
    <w:rsid w:val="0002595E"/>
    <w:rsid w:val="000303C3"/>
    <w:rsid w:val="00032981"/>
    <w:rsid w:val="000331D3"/>
    <w:rsid w:val="000346A5"/>
    <w:rsid w:val="000359C3"/>
    <w:rsid w:val="00035A7D"/>
    <w:rsid w:val="000365ED"/>
    <w:rsid w:val="0004249A"/>
    <w:rsid w:val="00043282"/>
    <w:rsid w:val="00044286"/>
    <w:rsid w:val="000449CF"/>
    <w:rsid w:val="00045F45"/>
    <w:rsid w:val="00047F28"/>
    <w:rsid w:val="000503AA"/>
    <w:rsid w:val="000506A1"/>
    <w:rsid w:val="000515DD"/>
    <w:rsid w:val="0005265A"/>
    <w:rsid w:val="000539DD"/>
    <w:rsid w:val="00053BD3"/>
    <w:rsid w:val="00054616"/>
    <w:rsid w:val="000550AD"/>
    <w:rsid w:val="000556ED"/>
    <w:rsid w:val="00055FE2"/>
    <w:rsid w:val="0005616F"/>
    <w:rsid w:val="00056EE3"/>
    <w:rsid w:val="00060C2E"/>
    <w:rsid w:val="00061033"/>
    <w:rsid w:val="000619E9"/>
    <w:rsid w:val="000622D4"/>
    <w:rsid w:val="000624AE"/>
    <w:rsid w:val="0006357D"/>
    <w:rsid w:val="00067F1E"/>
    <w:rsid w:val="00071CC0"/>
    <w:rsid w:val="00071CFC"/>
    <w:rsid w:val="00072F09"/>
    <w:rsid w:val="00073C8C"/>
    <w:rsid w:val="000777EB"/>
    <w:rsid w:val="00077B64"/>
    <w:rsid w:val="00080A1C"/>
    <w:rsid w:val="00082317"/>
    <w:rsid w:val="0008241A"/>
    <w:rsid w:val="00083D2C"/>
    <w:rsid w:val="00084704"/>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940"/>
    <w:rsid w:val="000B6A0B"/>
    <w:rsid w:val="000C0F6C"/>
    <w:rsid w:val="000C11DB"/>
    <w:rsid w:val="000C1492"/>
    <w:rsid w:val="000C2FBD"/>
    <w:rsid w:val="000C4B41"/>
    <w:rsid w:val="000C57D6"/>
    <w:rsid w:val="000C6362"/>
    <w:rsid w:val="000C7666"/>
    <w:rsid w:val="000C7E40"/>
    <w:rsid w:val="000D0A9C"/>
    <w:rsid w:val="000D1795"/>
    <w:rsid w:val="000D329A"/>
    <w:rsid w:val="000D4B9C"/>
    <w:rsid w:val="000D4EB6"/>
    <w:rsid w:val="000D5A16"/>
    <w:rsid w:val="000D753B"/>
    <w:rsid w:val="000E0587"/>
    <w:rsid w:val="000E4C9E"/>
    <w:rsid w:val="000E6DEF"/>
    <w:rsid w:val="000E6FD7"/>
    <w:rsid w:val="000E7144"/>
    <w:rsid w:val="000E7E01"/>
    <w:rsid w:val="000F06E1"/>
    <w:rsid w:val="000F0E3C"/>
    <w:rsid w:val="000F19D5"/>
    <w:rsid w:val="000F4050"/>
    <w:rsid w:val="000F4AEA"/>
    <w:rsid w:val="000F67E9"/>
    <w:rsid w:val="00104926"/>
    <w:rsid w:val="00104D7F"/>
    <w:rsid w:val="00112378"/>
    <w:rsid w:val="001137C3"/>
    <w:rsid w:val="00113B1E"/>
    <w:rsid w:val="00115C89"/>
    <w:rsid w:val="0011711C"/>
    <w:rsid w:val="00124E4F"/>
    <w:rsid w:val="001260B7"/>
    <w:rsid w:val="001265CB"/>
    <w:rsid w:val="00127C03"/>
    <w:rsid w:val="001321C6"/>
    <w:rsid w:val="001325C4"/>
    <w:rsid w:val="00133010"/>
    <w:rsid w:val="001338EE"/>
    <w:rsid w:val="00133AAE"/>
    <w:rsid w:val="00135001"/>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0D4"/>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22E3"/>
    <w:rsid w:val="0019348F"/>
    <w:rsid w:val="00193A07"/>
    <w:rsid w:val="00193A22"/>
    <w:rsid w:val="00194C95"/>
    <w:rsid w:val="00195C34"/>
    <w:rsid w:val="00196EF5"/>
    <w:rsid w:val="001A1A53"/>
    <w:rsid w:val="001A234A"/>
    <w:rsid w:val="001A3E37"/>
    <w:rsid w:val="001A4CF3"/>
    <w:rsid w:val="001A6696"/>
    <w:rsid w:val="001B06E8"/>
    <w:rsid w:val="001B71D0"/>
    <w:rsid w:val="001B71EE"/>
    <w:rsid w:val="001C04A8"/>
    <w:rsid w:val="001C28BC"/>
    <w:rsid w:val="001C2C03"/>
    <w:rsid w:val="001C42F7"/>
    <w:rsid w:val="001C49E5"/>
    <w:rsid w:val="001C680C"/>
    <w:rsid w:val="001C7FEA"/>
    <w:rsid w:val="001D0499"/>
    <w:rsid w:val="001D0BBE"/>
    <w:rsid w:val="001D0ED4"/>
    <w:rsid w:val="001D212F"/>
    <w:rsid w:val="001D29D7"/>
    <w:rsid w:val="001D2DE7"/>
    <w:rsid w:val="001D411C"/>
    <w:rsid w:val="001D4957"/>
    <w:rsid w:val="001E1B6A"/>
    <w:rsid w:val="001E2484"/>
    <w:rsid w:val="001E3CC4"/>
    <w:rsid w:val="001E4882"/>
    <w:rsid w:val="001E73AB"/>
    <w:rsid w:val="001F092D"/>
    <w:rsid w:val="001F143A"/>
    <w:rsid w:val="001F1605"/>
    <w:rsid w:val="001F2508"/>
    <w:rsid w:val="001F4816"/>
    <w:rsid w:val="001F69B4"/>
    <w:rsid w:val="001F76C1"/>
    <w:rsid w:val="001F77C7"/>
    <w:rsid w:val="00200183"/>
    <w:rsid w:val="00200333"/>
    <w:rsid w:val="0020107D"/>
    <w:rsid w:val="00202AA4"/>
    <w:rsid w:val="002031F7"/>
    <w:rsid w:val="00203DF4"/>
    <w:rsid w:val="002040E6"/>
    <w:rsid w:val="0020527B"/>
    <w:rsid w:val="00205F2C"/>
    <w:rsid w:val="002075C8"/>
    <w:rsid w:val="00210B15"/>
    <w:rsid w:val="00212711"/>
    <w:rsid w:val="00213308"/>
    <w:rsid w:val="002142EA"/>
    <w:rsid w:val="00215ADD"/>
    <w:rsid w:val="002204BB"/>
    <w:rsid w:val="00220C63"/>
    <w:rsid w:val="0022162A"/>
    <w:rsid w:val="00221B79"/>
    <w:rsid w:val="00221C6B"/>
    <w:rsid w:val="002253A1"/>
    <w:rsid w:val="00225CF8"/>
    <w:rsid w:val="0022794E"/>
    <w:rsid w:val="00233D64"/>
    <w:rsid w:val="0023482A"/>
    <w:rsid w:val="002352B2"/>
    <w:rsid w:val="002359CB"/>
    <w:rsid w:val="00241B52"/>
    <w:rsid w:val="00243540"/>
    <w:rsid w:val="0024497B"/>
    <w:rsid w:val="0024515B"/>
    <w:rsid w:val="00246021"/>
    <w:rsid w:val="0024666E"/>
    <w:rsid w:val="00247369"/>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3306"/>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1D2B"/>
    <w:rsid w:val="002B398F"/>
    <w:rsid w:val="002B4508"/>
    <w:rsid w:val="002B4F6E"/>
    <w:rsid w:val="002B5779"/>
    <w:rsid w:val="002B7332"/>
    <w:rsid w:val="002B7F51"/>
    <w:rsid w:val="002C09E7"/>
    <w:rsid w:val="002C1E06"/>
    <w:rsid w:val="002C3F07"/>
    <w:rsid w:val="002C5278"/>
    <w:rsid w:val="002C7EBB"/>
    <w:rsid w:val="002D06C1"/>
    <w:rsid w:val="002D159E"/>
    <w:rsid w:val="002D42B5"/>
    <w:rsid w:val="002D4F1A"/>
    <w:rsid w:val="002D6EC6"/>
    <w:rsid w:val="002D79AC"/>
    <w:rsid w:val="002E039D"/>
    <w:rsid w:val="002E4D5A"/>
    <w:rsid w:val="002E6326"/>
    <w:rsid w:val="002F30E0"/>
    <w:rsid w:val="002F35E4"/>
    <w:rsid w:val="002F3730"/>
    <w:rsid w:val="002F38E1"/>
    <w:rsid w:val="002F6F6D"/>
    <w:rsid w:val="002F7AF6"/>
    <w:rsid w:val="00300E63"/>
    <w:rsid w:val="0030151A"/>
    <w:rsid w:val="00301874"/>
    <w:rsid w:val="00302F5F"/>
    <w:rsid w:val="0030441D"/>
    <w:rsid w:val="00304695"/>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47B41"/>
    <w:rsid w:val="00350D1D"/>
    <w:rsid w:val="00352C83"/>
    <w:rsid w:val="00352F1A"/>
    <w:rsid w:val="00360DAE"/>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0FAF"/>
    <w:rsid w:val="003E1C53"/>
    <w:rsid w:val="003E2A69"/>
    <w:rsid w:val="003E2D49"/>
    <w:rsid w:val="003E2FD4"/>
    <w:rsid w:val="003E49F6"/>
    <w:rsid w:val="003E660F"/>
    <w:rsid w:val="003F0841"/>
    <w:rsid w:val="003F23D3"/>
    <w:rsid w:val="003F2FB6"/>
    <w:rsid w:val="003F3F08"/>
    <w:rsid w:val="003F49F1"/>
    <w:rsid w:val="003F6272"/>
    <w:rsid w:val="00400E72"/>
    <w:rsid w:val="00401400"/>
    <w:rsid w:val="00404869"/>
    <w:rsid w:val="00405884"/>
    <w:rsid w:val="00407D39"/>
    <w:rsid w:val="00411E63"/>
    <w:rsid w:val="0041477A"/>
    <w:rsid w:val="004167A3"/>
    <w:rsid w:val="00420F7F"/>
    <w:rsid w:val="00424652"/>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192"/>
    <w:rsid w:val="004659BD"/>
    <w:rsid w:val="00470775"/>
    <w:rsid w:val="00471398"/>
    <w:rsid w:val="004746B1"/>
    <w:rsid w:val="0047583F"/>
    <w:rsid w:val="00475DE8"/>
    <w:rsid w:val="00481C44"/>
    <w:rsid w:val="00484936"/>
    <w:rsid w:val="00485C89"/>
    <w:rsid w:val="00486BE3"/>
    <w:rsid w:val="004905E4"/>
    <w:rsid w:val="00490A89"/>
    <w:rsid w:val="00490AB4"/>
    <w:rsid w:val="00491FE4"/>
    <w:rsid w:val="00492F02"/>
    <w:rsid w:val="004939AE"/>
    <w:rsid w:val="004A12DF"/>
    <w:rsid w:val="004A1BA8"/>
    <w:rsid w:val="004A4B57"/>
    <w:rsid w:val="004A63FA"/>
    <w:rsid w:val="004A6A3D"/>
    <w:rsid w:val="004B0272"/>
    <w:rsid w:val="004B2701"/>
    <w:rsid w:val="004B2E1B"/>
    <w:rsid w:val="004B3AA8"/>
    <w:rsid w:val="004B3E93"/>
    <w:rsid w:val="004B4F67"/>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30E4"/>
    <w:rsid w:val="004E4AA5"/>
    <w:rsid w:val="004E4AEE"/>
    <w:rsid w:val="004E4BBE"/>
    <w:rsid w:val="004E59E3"/>
    <w:rsid w:val="004E67C0"/>
    <w:rsid w:val="004F391A"/>
    <w:rsid w:val="004F3CFB"/>
    <w:rsid w:val="004F6456"/>
    <w:rsid w:val="004F696E"/>
    <w:rsid w:val="004F6C71"/>
    <w:rsid w:val="00501139"/>
    <w:rsid w:val="005024F0"/>
    <w:rsid w:val="00502F22"/>
    <w:rsid w:val="0050363E"/>
    <w:rsid w:val="005039BC"/>
    <w:rsid w:val="00503C9A"/>
    <w:rsid w:val="005043BB"/>
    <w:rsid w:val="00504A3D"/>
    <w:rsid w:val="00505767"/>
    <w:rsid w:val="005073F0"/>
    <w:rsid w:val="00510A7B"/>
    <w:rsid w:val="00512F6E"/>
    <w:rsid w:val="00513038"/>
    <w:rsid w:val="00514174"/>
    <w:rsid w:val="00516088"/>
    <w:rsid w:val="005166FC"/>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460E"/>
    <w:rsid w:val="00546C7D"/>
    <w:rsid w:val="005479DA"/>
    <w:rsid w:val="00547BCC"/>
    <w:rsid w:val="0055013B"/>
    <w:rsid w:val="00551F6F"/>
    <w:rsid w:val="00555044"/>
    <w:rsid w:val="00561475"/>
    <w:rsid w:val="005619CF"/>
    <w:rsid w:val="00562308"/>
    <w:rsid w:val="0056487B"/>
    <w:rsid w:val="00564A97"/>
    <w:rsid w:val="00564FB9"/>
    <w:rsid w:val="00573D9E"/>
    <w:rsid w:val="005801E3"/>
    <w:rsid w:val="00581802"/>
    <w:rsid w:val="00582020"/>
    <w:rsid w:val="005836A8"/>
    <w:rsid w:val="0058409C"/>
    <w:rsid w:val="00584262"/>
    <w:rsid w:val="00585C58"/>
    <w:rsid w:val="00586630"/>
    <w:rsid w:val="00587ADD"/>
    <w:rsid w:val="00593A49"/>
    <w:rsid w:val="00593F89"/>
    <w:rsid w:val="00596160"/>
    <w:rsid w:val="005966E2"/>
    <w:rsid w:val="00597007"/>
    <w:rsid w:val="00597800"/>
    <w:rsid w:val="005A0966"/>
    <w:rsid w:val="005A11B7"/>
    <w:rsid w:val="005A260B"/>
    <w:rsid w:val="005A4A1B"/>
    <w:rsid w:val="005A77D1"/>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3F13"/>
    <w:rsid w:val="005D4171"/>
    <w:rsid w:val="005D6A95"/>
    <w:rsid w:val="005D6B2C"/>
    <w:rsid w:val="005D6D9C"/>
    <w:rsid w:val="005E0937"/>
    <w:rsid w:val="005E2335"/>
    <w:rsid w:val="005E34CA"/>
    <w:rsid w:val="005E3C18"/>
    <w:rsid w:val="005E4250"/>
    <w:rsid w:val="005E6812"/>
    <w:rsid w:val="005E7249"/>
    <w:rsid w:val="005E7881"/>
    <w:rsid w:val="005E78E0"/>
    <w:rsid w:val="005F0D9C"/>
    <w:rsid w:val="005F284E"/>
    <w:rsid w:val="005F32C6"/>
    <w:rsid w:val="006015CE"/>
    <w:rsid w:val="00604784"/>
    <w:rsid w:val="00606419"/>
    <w:rsid w:val="00607D29"/>
    <w:rsid w:val="00611F67"/>
    <w:rsid w:val="00612952"/>
    <w:rsid w:val="00614CC1"/>
    <w:rsid w:val="00615A9D"/>
    <w:rsid w:val="00617387"/>
    <w:rsid w:val="006205D6"/>
    <w:rsid w:val="006252D8"/>
    <w:rsid w:val="006259BC"/>
    <w:rsid w:val="0062636B"/>
    <w:rsid w:val="00627115"/>
    <w:rsid w:val="00630D67"/>
    <w:rsid w:val="00632182"/>
    <w:rsid w:val="00632AE0"/>
    <w:rsid w:val="00633C17"/>
    <w:rsid w:val="00634D9E"/>
    <w:rsid w:val="00636E3E"/>
    <w:rsid w:val="006379F7"/>
    <w:rsid w:val="00637E4D"/>
    <w:rsid w:val="00640620"/>
    <w:rsid w:val="00641A1F"/>
    <w:rsid w:val="00641FD4"/>
    <w:rsid w:val="0064494D"/>
    <w:rsid w:val="0064586C"/>
    <w:rsid w:val="00645904"/>
    <w:rsid w:val="00651ACB"/>
    <w:rsid w:val="00651C47"/>
    <w:rsid w:val="00652AB2"/>
    <w:rsid w:val="00653FED"/>
    <w:rsid w:val="00654EC0"/>
    <w:rsid w:val="0065525B"/>
    <w:rsid w:val="006556DC"/>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87EF7"/>
    <w:rsid w:val="00693962"/>
    <w:rsid w:val="006A07AA"/>
    <w:rsid w:val="006A25E5"/>
    <w:rsid w:val="006A2B46"/>
    <w:rsid w:val="006A336D"/>
    <w:rsid w:val="006A37B9"/>
    <w:rsid w:val="006B2035"/>
    <w:rsid w:val="006B2672"/>
    <w:rsid w:val="006B54BF"/>
    <w:rsid w:val="006B5F44"/>
    <w:rsid w:val="006B5F90"/>
    <w:rsid w:val="006B62E4"/>
    <w:rsid w:val="006C1BBA"/>
    <w:rsid w:val="006C2079"/>
    <w:rsid w:val="006C5A62"/>
    <w:rsid w:val="006C5C5C"/>
    <w:rsid w:val="006C5D68"/>
    <w:rsid w:val="006C6976"/>
    <w:rsid w:val="006C6DD0"/>
    <w:rsid w:val="006D04EA"/>
    <w:rsid w:val="006D16C4"/>
    <w:rsid w:val="006D3E96"/>
    <w:rsid w:val="006D4515"/>
    <w:rsid w:val="006D4BB1"/>
    <w:rsid w:val="006D5AF9"/>
    <w:rsid w:val="006D6593"/>
    <w:rsid w:val="006D7EC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6F82"/>
    <w:rsid w:val="00727FA2"/>
    <w:rsid w:val="007322D9"/>
    <w:rsid w:val="0073268C"/>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C9E"/>
    <w:rsid w:val="00750D61"/>
    <w:rsid w:val="00750EE1"/>
    <w:rsid w:val="00752B4D"/>
    <w:rsid w:val="00755402"/>
    <w:rsid w:val="00756B26"/>
    <w:rsid w:val="00756EDF"/>
    <w:rsid w:val="007600E3"/>
    <w:rsid w:val="00765C43"/>
    <w:rsid w:val="00765EFB"/>
    <w:rsid w:val="007671CA"/>
    <w:rsid w:val="00767C61"/>
    <w:rsid w:val="0077008A"/>
    <w:rsid w:val="00771C6A"/>
    <w:rsid w:val="00773C1F"/>
    <w:rsid w:val="00774DA4"/>
    <w:rsid w:val="00776599"/>
    <w:rsid w:val="0078114B"/>
    <w:rsid w:val="00781DD2"/>
    <w:rsid w:val="00783ECF"/>
    <w:rsid w:val="0078413A"/>
    <w:rsid w:val="00786740"/>
    <w:rsid w:val="007959E8"/>
    <w:rsid w:val="00795E9C"/>
    <w:rsid w:val="00797F37"/>
    <w:rsid w:val="007A0521"/>
    <w:rsid w:val="007A0E80"/>
    <w:rsid w:val="007A2E12"/>
    <w:rsid w:val="007A3475"/>
    <w:rsid w:val="007A41C8"/>
    <w:rsid w:val="007A54CE"/>
    <w:rsid w:val="007A552F"/>
    <w:rsid w:val="007A5D3A"/>
    <w:rsid w:val="007A6FD9"/>
    <w:rsid w:val="007A7FFA"/>
    <w:rsid w:val="007B04EB"/>
    <w:rsid w:val="007B0D4F"/>
    <w:rsid w:val="007B19C5"/>
    <w:rsid w:val="007B5A3D"/>
    <w:rsid w:val="007B5B95"/>
    <w:rsid w:val="007B6032"/>
    <w:rsid w:val="007B68EA"/>
    <w:rsid w:val="007B7453"/>
    <w:rsid w:val="007C05A4"/>
    <w:rsid w:val="007C181C"/>
    <w:rsid w:val="007C2D89"/>
    <w:rsid w:val="007C4593"/>
    <w:rsid w:val="007C5309"/>
    <w:rsid w:val="007C6069"/>
    <w:rsid w:val="007D06C4"/>
    <w:rsid w:val="007D1352"/>
    <w:rsid w:val="007D2508"/>
    <w:rsid w:val="007D346A"/>
    <w:rsid w:val="007D57F7"/>
    <w:rsid w:val="007D6518"/>
    <w:rsid w:val="007D76BD"/>
    <w:rsid w:val="007E0BF1"/>
    <w:rsid w:val="007F0ED8"/>
    <w:rsid w:val="007F0F63"/>
    <w:rsid w:val="007F270E"/>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6D1"/>
    <w:rsid w:val="00823A9F"/>
    <w:rsid w:val="00823C85"/>
    <w:rsid w:val="00825138"/>
    <w:rsid w:val="008269DD"/>
    <w:rsid w:val="00830621"/>
    <w:rsid w:val="0083348C"/>
    <w:rsid w:val="00834A2B"/>
    <w:rsid w:val="00836633"/>
    <w:rsid w:val="008373D3"/>
    <w:rsid w:val="00840617"/>
    <w:rsid w:val="00840F84"/>
    <w:rsid w:val="00842A47"/>
    <w:rsid w:val="00843C13"/>
    <w:rsid w:val="00843DEF"/>
    <w:rsid w:val="008443BC"/>
    <w:rsid w:val="008454F8"/>
    <w:rsid w:val="00847D09"/>
    <w:rsid w:val="0085173A"/>
    <w:rsid w:val="008556CD"/>
    <w:rsid w:val="008603CE"/>
    <w:rsid w:val="008620FC"/>
    <w:rsid w:val="008627A5"/>
    <w:rsid w:val="00863E05"/>
    <w:rsid w:val="00865ACA"/>
    <w:rsid w:val="00865D28"/>
    <w:rsid w:val="00865F85"/>
    <w:rsid w:val="00866BCE"/>
    <w:rsid w:val="00867C10"/>
    <w:rsid w:val="00870439"/>
    <w:rsid w:val="0087049B"/>
    <w:rsid w:val="00870DA1"/>
    <w:rsid w:val="00883F93"/>
    <w:rsid w:val="00884DB3"/>
    <w:rsid w:val="00885A9D"/>
    <w:rsid w:val="008864F6"/>
    <w:rsid w:val="0089049D"/>
    <w:rsid w:val="008928C9"/>
    <w:rsid w:val="008930CB"/>
    <w:rsid w:val="008938DC"/>
    <w:rsid w:val="008939C2"/>
    <w:rsid w:val="00893FD1"/>
    <w:rsid w:val="00894836"/>
    <w:rsid w:val="00895172"/>
    <w:rsid w:val="00895680"/>
    <w:rsid w:val="00896DFF"/>
    <w:rsid w:val="0089762C"/>
    <w:rsid w:val="008A0555"/>
    <w:rsid w:val="008A173B"/>
    <w:rsid w:val="008A1893"/>
    <w:rsid w:val="008A57E6"/>
    <w:rsid w:val="008A6F81"/>
    <w:rsid w:val="008A769A"/>
    <w:rsid w:val="008B0C9C"/>
    <w:rsid w:val="008B166D"/>
    <w:rsid w:val="008B17F4"/>
    <w:rsid w:val="008B190F"/>
    <w:rsid w:val="008B3615"/>
    <w:rsid w:val="008B414B"/>
    <w:rsid w:val="008B4AC4"/>
    <w:rsid w:val="008B50C8"/>
    <w:rsid w:val="008B5281"/>
    <w:rsid w:val="008B5374"/>
    <w:rsid w:val="008B7E05"/>
    <w:rsid w:val="008C1797"/>
    <w:rsid w:val="008C219C"/>
    <w:rsid w:val="008C475E"/>
    <w:rsid w:val="008C619A"/>
    <w:rsid w:val="008C7030"/>
    <w:rsid w:val="008D0CE8"/>
    <w:rsid w:val="008D2D1D"/>
    <w:rsid w:val="008D453D"/>
    <w:rsid w:val="008D53AD"/>
    <w:rsid w:val="008D562B"/>
    <w:rsid w:val="008D5733"/>
    <w:rsid w:val="008D622B"/>
    <w:rsid w:val="008D666C"/>
    <w:rsid w:val="008D7B54"/>
    <w:rsid w:val="008E0C9D"/>
    <w:rsid w:val="008E1648"/>
    <w:rsid w:val="008E1B3E"/>
    <w:rsid w:val="008E2319"/>
    <w:rsid w:val="008E3793"/>
    <w:rsid w:val="008E4BB6"/>
    <w:rsid w:val="008E5330"/>
    <w:rsid w:val="008E5518"/>
    <w:rsid w:val="008E6A84"/>
    <w:rsid w:val="008F0CDC"/>
    <w:rsid w:val="008F17A3"/>
    <w:rsid w:val="008F1ED3"/>
    <w:rsid w:val="008F2B59"/>
    <w:rsid w:val="008F4C29"/>
    <w:rsid w:val="008F70BD"/>
    <w:rsid w:val="008F788F"/>
    <w:rsid w:val="008F7EA2"/>
    <w:rsid w:val="00902722"/>
    <w:rsid w:val="009027BC"/>
    <w:rsid w:val="009062E6"/>
    <w:rsid w:val="0091023D"/>
    <w:rsid w:val="0091164D"/>
    <w:rsid w:val="00911BE5"/>
    <w:rsid w:val="00913CA9"/>
    <w:rsid w:val="009145AE"/>
    <w:rsid w:val="009146CE"/>
    <w:rsid w:val="00914CA7"/>
    <w:rsid w:val="00915C3E"/>
    <w:rsid w:val="009161A8"/>
    <w:rsid w:val="00924052"/>
    <w:rsid w:val="009245AE"/>
    <w:rsid w:val="009245F5"/>
    <w:rsid w:val="009249EC"/>
    <w:rsid w:val="00925708"/>
    <w:rsid w:val="009273B3"/>
    <w:rsid w:val="009303D6"/>
    <w:rsid w:val="009305B5"/>
    <w:rsid w:val="009309DF"/>
    <w:rsid w:val="00936860"/>
    <w:rsid w:val="009378DD"/>
    <w:rsid w:val="009429D5"/>
    <w:rsid w:val="00942BF1"/>
    <w:rsid w:val="00945180"/>
    <w:rsid w:val="00945428"/>
    <w:rsid w:val="0094607B"/>
    <w:rsid w:val="0094652B"/>
    <w:rsid w:val="00953604"/>
    <w:rsid w:val="0095496B"/>
    <w:rsid w:val="00960F1E"/>
    <w:rsid w:val="009610DC"/>
    <w:rsid w:val="00961490"/>
    <w:rsid w:val="009614B9"/>
    <w:rsid w:val="00962CFE"/>
    <w:rsid w:val="009632E1"/>
    <w:rsid w:val="0096381A"/>
    <w:rsid w:val="00965E04"/>
    <w:rsid w:val="009674AD"/>
    <w:rsid w:val="00970CDC"/>
    <w:rsid w:val="00975377"/>
    <w:rsid w:val="00975727"/>
    <w:rsid w:val="00977010"/>
    <w:rsid w:val="00977D02"/>
    <w:rsid w:val="00977FF9"/>
    <w:rsid w:val="009809BB"/>
    <w:rsid w:val="00982720"/>
    <w:rsid w:val="0098364B"/>
    <w:rsid w:val="00984422"/>
    <w:rsid w:val="00985FAD"/>
    <w:rsid w:val="009908A3"/>
    <w:rsid w:val="009911AF"/>
    <w:rsid w:val="00991875"/>
    <w:rsid w:val="00991F92"/>
    <w:rsid w:val="00992985"/>
    <w:rsid w:val="00993889"/>
    <w:rsid w:val="0099551B"/>
    <w:rsid w:val="00996A65"/>
    <w:rsid w:val="00996BD2"/>
    <w:rsid w:val="00997BF1"/>
    <w:rsid w:val="009A089C"/>
    <w:rsid w:val="009A118E"/>
    <w:rsid w:val="009A21CD"/>
    <w:rsid w:val="009A278C"/>
    <w:rsid w:val="009A2BC2"/>
    <w:rsid w:val="009A42C1"/>
    <w:rsid w:val="009A4DE0"/>
    <w:rsid w:val="009A5429"/>
    <w:rsid w:val="009A72AD"/>
    <w:rsid w:val="009B09E0"/>
    <w:rsid w:val="009B0BC5"/>
    <w:rsid w:val="009B1247"/>
    <w:rsid w:val="009B3600"/>
    <w:rsid w:val="009B6029"/>
    <w:rsid w:val="009B6971"/>
    <w:rsid w:val="009C27F1"/>
    <w:rsid w:val="009C3152"/>
    <w:rsid w:val="009C3257"/>
    <w:rsid w:val="009C4CFA"/>
    <w:rsid w:val="009C5070"/>
    <w:rsid w:val="009C7C4D"/>
    <w:rsid w:val="009D008C"/>
    <w:rsid w:val="009D112C"/>
    <w:rsid w:val="009D1385"/>
    <w:rsid w:val="009D47FA"/>
    <w:rsid w:val="009D4C5B"/>
    <w:rsid w:val="009D50D2"/>
    <w:rsid w:val="009D6BCA"/>
    <w:rsid w:val="009E0F62"/>
    <w:rsid w:val="009E14AB"/>
    <w:rsid w:val="009E4A58"/>
    <w:rsid w:val="009E5A2D"/>
    <w:rsid w:val="009E5AB2"/>
    <w:rsid w:val="009E6219"/>
    <w:rsid w:val="009F03B3"/>
    <w:rsid w:val="00A0096C"/>
    <w:rsid w:val="00A01757"/>
    <w:rsid w:val="00A028C0"/>
    <w:rsid w:val="00A02BAE"/>
    <w:rsid w:val="00A05C60"/>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A95"/>
    <w:rsid w:val="00A33C67"/>
    <w:rsid w:val="00A3597D"/>
    <w:rsid w:val="00A36DD1"/>
    <w:rsid w:val="00A4006C"/>
    <w:rsid w:val="00A40091"/>
    <w:rsid w:val="00A4030F"/>
    <w:rsid w:val="00A41C79"/>
    <w:rsid w:val="00A41CB5"/>
    <w:rsid w:val="00A42CDF"/>
    <w:rsid w:val="00A4452E"/>
    <w:rsid w:val="00A4472C"/>
    <w:rsid w:val="00A44E69"/>
    <w:rsid w:val="00A464DB"/>
    <w:rsid w:val="00A4661E"/>
    <w:rsid w:val="00A478AA"/>
    <w:rsid w:val="00A55BD6"/>
    <w:rsid w:val="00A55D50"/>
    <w:rsid w:val="00A57142"/>
    <w:rsid w:val="00A648CD"/>
    <w:rsid w:val="00A6537A"/>
    <w:rsid w:val="00A67866"/>
    <w:rsid w:val="00A70B07"/>
    <w:rsid w:val="00A722F5"/>
    <w:rsid w:val="00A723F8"/>
    <w:rsid w:val="00A77CCB"/>
    <w:rsid w:val="00A837CD"/>
    <w:rsid w:val="00A83D8D"/>
    <w:rsid w:val="00A8446B"/>
    <w:rsid w:val="00A8473F"/>
    <w:rsid w:val="00A862D6"/>
    <w:rsid w:val="00A86780"/>
    <w:rsid w:val="00A8715E"/>
    <w:rsid w:val="00A90978"/>
    <w:rsid w:val="00A9101B"/>
    <w:rsid w:val="00A9295B"/>
    <w:rsid w:val="00A93B09"/>
    <w:rsid w:val="00A952D7"/>
    <w:rsid w:val="00A963F7"/>
    <w:rsid w:val="00A96AD8"/>
    <w:rsid w:val="00AA052C"/>
    <w:rsid w:val="00AA1E45"/>
    <w:rsid w:val="00AA4286"/>
    <w:rsid w:val="00AA456B"/>
    <w:rsid w:val="00AA57F5"/>
    <w:rsid w:val="00AA672E"/>
    <w:rsid w:val="00AA6EC9"/>
    <w:rsid w:val="00AB05E1"/>
    <w:rsid w:val="00AB310B"/>
    <w:rsid w:val="00AB6309"/>
    <w:rsid w:val="00AB6C5F"/>
    <w:rsid w:val="00AB7129"/>
    <w:rsid w:val="00AC1B1F"/>
    <w:rsid w:val="00AC27A6"/>
    <w:rsid w:val="00AC30F7"/>
    <w:rsid w:val="00AC3609"/>
    <w:rsid w:val="00AC3A5A"/>
    <w:rsid w:val="00AC4D95"/>
    <w:rsid w:val="00AC5DF4"/>
    <w:rsid w:val="00AD0AEF"/>
    <w:rsid w:val="00AD0E5E"/>
    <w:rsid w:val="00AD11B7"/>
    <w:rsid w:val="00AD1A94"/>
    <w:rsid w:val="00AD1C05"/>
    <w:rsid w:val="00AD4126"/>
    <w:rsid w:val="00AD421C"/>
    <w:rsid w:val="00AD44FA"/>
    <w:rsid w:val="00AE070A"/>
    <w:rsid w:val="00AE101C"/>
    <w:rsid w:val="00AE2A69"/>
    <w:rsid w:val="00AE37E5"/>
    <w:rsid w:val="00AE5EB4"/>
    <w:rsid w:val="00AE6E34"/>
    <w:rsid w:val="00AF0C18"/>
    <w:rsid w:val="00AF47C5"/>
    <w:rsid w:val="00AF5398"/>
    <w:rsid w:val="00B00C8F"/>
    <w:rsid w:val="00B049AF"/>
    <w:rsid w:val="00B07242"/>
    <w:rsid w:val="00B10534"/>
    <w:rsid w:val="00B113DB"/>
    <w:rsid w:val="00B11D8A"/>
    <w:rsid w:val="00B12981"/>
    <w:rsid w:val="00B147DD"/>
    <w:rsid w:val="00B156FD"/>
    <w:rsid w:val="00B16118"/>
    <w:rsid w:val="00B1659F"/>
    <w:rsid w:val="00B21F61"/>
    <w:rsid w:val="00B2527F"/>
    <w:rsid w:val="00B261F1"/>
    <w:rsid w:val="00B265BC"/>
    <w:rsid w:val="00B31FB1"/>
    <w:rsid w:val="00B33952"/>
    <w:rsid w:val="00B33C5E"/>
    <w:rsid w:val="00B342F4"/>
    <w:rsid w:val="00B34369"/>
    <w:rsid w:val="00B34DC2"/>
    <w:rsid w:val="00B378E5"/>
    <w:rsid w:val="00B37E82"/>
    <w:rsid w:val="00B4346D"/>
    <w:rsid w:val="00B440F4"/>
    <w:rsid w:val="00B447A5"/>
    <w:rsid w:val="00B4654C"/>
    <w:rsid w:val="00B47293"/>
    <w:rsid w:val="00B50E50"/>
    <w:rsid w:val="00B52120"/>
    <w:rsid w:val="00B54ABC"/>
    <w:rsid w:val="00B55949"/>
    <w:rsid w:val="00B56FBE"/>
    <w:rsid w:val="00B57B5C"/>
    <w:rsid w:val="00B60ACF"/>
    <w:rsid w:val="00B61F67"/>
    <w:rsid w:val="00B62B58"/>
    <w:rsid w:val="00B63FD6"/>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D7032"/>
    <w:rsid w:val="00BE0040"/>
    <w:rsid w:val="00BE22F3"/>
    <w:rsid w:val="00BE5B52"/>
    <w:rsid w:val="00BE5FD0"/>
    <w:rsid w:val="00BE7B8D"/>
    <w:rsid w:val="00BF0993"/>
    <w:rsid w:val="00BF10A9"/>
    <w:rsid w:val="00BF1703"/>
    <w:rsid w:val="00BF231C"/>
    <w:rsid w:val="00BF51E5"/>
    <w:rsid w:val="00BF6961"/>
    <w:rsid w:val="00BF74A6"/>
    <w:rsid w:val="00C013AD"/>
    <w:rsid w:val="00C04904"/>
    <w:rsid w:val="00C056B3"/>
    <w:rsid w:val="00C103E5"/>
    <w:rsid w:val="00C13319"/>
    <w:rsid w:val="00C13EE9"/>
    <w:rsid w:val="00C2040B"/>
    <w:rsid w:val="00C21540"/>
    <w:rsid w:val="00C21906"/>
    <w:rsid w:val="00C21BBF"/>
    <w:rsid w:val="00C21BFA"/>
    <w:rsid w:val="00C22754"/>
    <w:rsid w:val="00C24C8D"/>
    <w:rsid w:val="00C25FE2"/>
    <w:rsid w:val="00C26B53"/>
    <w:rsid w:val="00C26FC0"/>
    <w:rsid w:val="00C27768"/>
    <w:rsid w:val="00C279B2"/>
    <w:rsid w:val="00C33E50"/>
    <w:rsid w:val="00C34C20"/>
    <w:rsid w:val="00C34CB4"/>
    <w:rsid w:val="00C35A3E"/>
    <w:rsid w:val="00C42130"/>
    <w:rsid w:val="00C423A4"/>
    <w:rsid w:val="00C423E3"/>
    <w:rsid w:val="00C44BF5"/>
    <w:rsid w:val="00C46136"/>
    <w:rsid w:val="00C521D6"/>
    <w:rsid w:val="00C54B3F"/>
    <w:rsid w:val="00C55232"/>
    <w:rsid w:val="00C553A4"/>
    <w:rsid w:val="00C55A06"/>
    <w:rsid w:val="00C55D03"/>
    <w:rsid w:val="00C601BC"/>
    <w:rsid w:val="00C6329F"/>
    <w:rsid w:val="00C63340"/>
    <w:rsid w:val="00C643F9"/>
    <w:rsid w:val="00C64E95"/>
    <w:rsid w:val="00C71372"/>
    <w:rsid w:val="00C71666"/>
    <w:rsid w:val="00C72410"/>
    <w:rsid w:val="00C7287F"/>
    <w:rsid w:val="00C80CB8"/>
    <w:rsid w:val="00C819F8"/>
    <w:rsid w:val="00C8248C"/>
    <w:rsid w:val="00C84E33"/>
    <w:rsid w:val="00C86D6F"/>
    <w:rsid w:val="00C905FC"/>
    <w:rsid w:val="00C92D03"/>
    <w:rsid w:val="00C9319C"/>
    <w:rsid w:val="00C94151"/>
    <w:rsid w:val="00C9435D"/>
    <w:rsid w:val="00C94DF2"/>
    <w:rsid w:val="00C96741"/>
    <w:rsid w:val="00CA2D1B"/>
    <w:rsid w:val="00CA2E87"/>
    <w:rsid w:val="00CA375D"/>
    <w:rsid w:val="00CA662A"/>
    <w:rsid w:val="00CA7AFD"/>
    <w:rsid w:val="00CA7C3C"/>
    <w:rsid w:val="00CB0189"/>
    <w:rsid w:val="00CB0BA2"/>
    <w:rsid w:val="00CB107F"/>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2A3E"/>
    <w:rsid w:val="00CD4092"/>
    <w:rsid w:val="00CD4A20"/>
    <w:rsid w:val="00CD50A1"/>
    <w:rsid w:val="00CD519E"/>
    <w:rsid w:val="00CE0C4F"/>
    <w:rsid w:val="00CE2AA0"/>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37DF4"/>
    <w:rsid w:val="00D4162B"/>
    <w:rsid w:val="00D41E6A"/>
    <w:rsid w:val="00D4514F"/>
    <w:rsid w:val="00D451E2"/>
    <w:rsid w:val="00D45E89"/>
    <w:rsid w:val="00D45E8D"/>
    <w:rsid w:val="00D466AE"/>
    <w:rsid w:val="00D4734F"/>
    <w:rsid w:val="00D51BF3"/>
    <w:rsid w:val="00D52960"/>
    <w:rsid w:val="00D52C86"/>
    <w:rsid w:val="00D655F6"/>
    <w:rsid w:val="00D66846"/>
    <w:rsid w:val="00D675FB"/>
    <w:rsid w:val="00D70595"/>
    <w:rsid w:val="00D71F25"/>
    <w:rsid w:val="00D72A9C"/>
    <w:rsid w:val="00D77031"/>
    <w:rsid w:val="00D77E20"/>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EE9"/>
    <w:rsid w:val="00DB6F54"/>
    <w:rsid w:val="00DB724E"/>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64E"/>
    <w:rsid w:val="00DE6E81"/>
    <w:rsid w:val="00DE703F"/>
    <w:rsid w:val="00DE7595"/>
    <w:rsid w:val="00DF1961"/>
    <w:rsid w:val="00DF44DE"/>
    <w:rsid w:val="00E01138"/>
    <w:rsid w:val="00E02DFB"/>
    <w:rsid w:val="00E030F9"/>
    <w:rsid w:val="00E0311A"/>
    <w:rsid w:val="00E03138"/>
    <w:rsid w:val="00E06404"/>
    <w:rsid w:val="00E06621"/>
    <w:rsid w:val="00E101B8"/>
    <w:rsid w:val="00E11A85"/>
    <w:rsid w:val="00E12495"/>
    <w:rsid w:val="00E15CCD"/>
    <w:rsid w:val="00E202EF"/>
    <w:rsid w:val="00E210B5"/>
    <w:rsid w:val="00E22956"/>
    <w:rsid w:val="00E2552F"/>
    <w:rsid w:val="00E25B97"/>
    <w:rsid w:val="00E3137A"/>
    <w:rsid w:val="00E32CCF"/>
    <w:rsid w:val="00E34A98"/>
    <w:rsid w:val="00E35D1E"/>
    <w:rsid w:val="00E364F9"/>
    <w:rsid w:val="00E365FA"/>
    <w:rsid w:val="00E36789"/>
    <w:rsid w:val="00E429C3"/>
    <w:rsid w:val="00E44A83"/>
    <w:rsid w:val="00E45104"/>
    <w:rsid w:val="00E4746A"/>
    <w:rsid w:val="00E502C1"/>
    <w:rsid w:val="00E502DD"/>
    <w:rsid w:val="00E50D3A"/>
    <w:rsid w:val="00E51387"/>
    <w:rsid w:val="00E51E68"/>
    <w:rsid w:val="00E52EFD"/>
    <w:rsid w:val="00E53293"/>
    <w:rsid w:val="00E5408A"/>
    <w:rsid w:val="00E56800"/>
    <w:rsid w:val="00E60C63"/>
    <w:rsid w:val="00E61F4A"/>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40C3"/>
    <w:rsid w:val="00EA4917"/>
    <w:rsid w:val="00EA58D1"/>
    <w:rsid w:val="00EA61BC"/>
    <w:rsid w:val="00EA681A"/>
    <w:rsid w:val="00EA735B"/>
    <w:rsid w:val="00EB15EC"/>
    <w:rsid w:val="00EB1E69"/>
    <w:rsid w:val="00EB2086"/>
    <w:rsid w:val="00EB31ED"/>
    <w:rsid w:val="00EB5EDF"/>
    <w:rsid w:val="00EB60FE"/>
    <w:rsid w:val="00EB74DB"/>
    <w:rsid w:val="00EC5359"/>
    <w:rsid w:val="00EC562A"/>
    <w:rsid w:val="00ED067A"/>
    <w:rsid w:val="00ED12C5"/>
    <w:rsid w:val="00ED2B50"/>
    <w:rsid w:val="00EE0350"/>
    <w:rsid w:val="00EE0719"/>
    <w:rsid w:val="00EE0E80"/>
    <w:rsid w:val="00EE613F"/>
    <w:rsid w:val="00EE7295"/>
    <w:rsid w:val="00EE7869"/>
    <w:rsid w:val="00EF054A"/>
    <w:rsid w:val="00EF3235"/>
    <w:rsid w:val="00EF3730"/>
    <w:rsid w:val="00EF7E72"/>
    <w:rsid w:val="00F06D37"/>
    <w:rsid w:val="00F07092"/>
    <w:rsid w:val="00F07B9D"/>
    <w:rsid w:val="00F11586"/>
    <w:rsid w:val="00F1183B"/>
    <w:rsid w:val="00F11C9F"/>
    <w:rsid w:val="00F12263"/>
    <w:rsid w:val="00F1409D"/>
    <w:rsid w:val="00F14214"/>
    <w:rsid w:val="00F157A9"/>
    <w:rsid w:val="00F16F00"/>
    <w:rsid w:val="00F25BB6"/>
    <w:rsid w:val="00F25E5E"/>
    <w:rsid w:val="00F26B7E"/>
    <w:rsid w:val="00F27A3B"/>
    <w:rsid w:val="00F31A9E"/>
    <w:rsid w:val="00F32425"/>
    <w:rsid w:val="00F32780"/>
    <w:rsid w:val="00F33817"/>
    <w:rsid w:val="00F40B26"/>
    <w:rsid w:val="00F420D5"/>
    <w:rsid w:val="00F43A68"/>
    <w:rsid w:val="00F451EA"/>
    <w:rsid w:val="00F45447"/>
    <w:rsid w:val="00F456C6"/>
    <w:rsid w:val="00F4577B"/>
    <w:rsid w:val="00F46496"/>
    <w:rsid w:val="00F474D0"/>
    <w:rsid w:val="00F50179"/>
    <w:rsid w:val="00F515EE"/>
    <w:rsid w:val="00F5337F"/>
    <w:rsid w:val="00F54FD7"/>
    <w:rsid w:val="00F56511"/>
    <w:rsid w:val="00F6194E"/>
    <w:rsid w:val="00F61D1B"/>
    <w:rsid w:val="00F61E6B"/>
    <w:rsid w:val="00F623AC"/>
    <w:rsid w:val="00F6412A"/>
    <w:rsid w:val="00F65893"/>
    <w:rsid w:val="00F66A4A"/>
    <w:rsid w:val="00F71E22"/>
    <w:rsid w:val="00F72142"/>
    <w:rsid w:val="00F7238C"/>
    <w:rsid w:val="00F72AE7"/>
    <w:rsid w:val="00F833BA"/>
    <w:rsid w:val="00F84FD0"/>
    <w:rsid w:val="00F859A8"/>
    <w:rsid w:val="00F866CB"/>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56C4"/>
    <w:rsid w:val="00FB7054"/>
    <w:rsid w:val="00FC0935"/>
    <w:rsid w:val="00FC17B7"/>
    <w:rsid w:val="00FC2CB7"/>
    <w:rsid w:val="00FC4090"/>
    <w:rsid w:val="00FC55B4"/>
    <w:rsid w:val="00FD00E6"/>
    <w:rsid w:val="00FD09A1"/>
    <w:rsid w:val="00FD2A7C"/>
    <w:rsid w:val="00FD59EB"/>
    <w:rsid w:val="00FD6165"/>
    <w:rsid w:val="00FD7256"/>
    <w:rsid w:val="00FD7299"/>
    <w:rsid w:val="00FE1FBE"/>
    <w:rsid w:val="00FE3901"/>
    <w:rsid w:val="00FE39D3"/>
    <w:rsid w:val="00FE4BCE"/>
    <w:rsid w:val="00FE541C"/>
    <w:rsid w:val="00FE54AE"/>
    <w:rsid w:val="00FE576A"/>
    <w:rsid w:val="00FE7E79"/>
    <w:rsid w:val="00FF3E7D"/>
    <w:rsid w:val="00FF5B99"/>
    <w:rsid w:val="00FF730C"/>
    <w:rsid w:val="00FF73F4"/>
    <w:rsid w:val="00FF7CE4"/>
    <w:rsid w:val="00FF7E39"/>
    <w:rsid w:val="09C120A6"/>
    <w:rsid w:val="0C2A1265"/>
    <w:rsid w:val="0D4A1CBD"/>
    <w:rsid w:val="1F5A6485"/>
    <w:rsid w:val="256E59FC"/>
    <w:rsid w:val="2A7228D5"/>
    <w:rsid w:val="2B2D4A4E"/>
    <w:rsid w:val="2DE35D21"/>
    <w:rsid w:val="31024B1E"/>
    <w:rsid w:val="32AC094E"/>
    <w:rsid w:val="3FA27361"/>
    <w:rsid w:val="436037BB"/>
    <w:rsid w:val="455016CE"/>
    <w:rsid w:val="48742152"/>
    <w:rsid w:val="51F577C4"/>
    <w:rsid w:val="55286102"/>
    <w:rsid w:val="56D51DDC"/>
    <w:rsid w:val="5D83481E"/>
    <w:rsid w:val="75A5700D"/>
    <w:rsid w:val="75CF1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ind w:left="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ind w:left="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ind w:left="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ind w:left="6237"/>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00EADEBB3C54809893CCF967E895BF8"/>
        <w:style w:val=""/>
        <w:category>
          <w:name w:val="常规"/>
          <w:gallery w:val="placeholder"/>
        </w:category>
        <w:types>
          <w:type w:val="bbPlcHdr"/>
        </w:types>
        <w:behaviors>
          <w:behavior w:val="content"/>
        </w:behaviors>
        <w:description w:val=""/>
        <w:guid w:val="{CE0519D7-D4C2-49E7-A41A-AFBA212D27F2}"/>
      </w:docPartPr>
      <w:docPartBody>
        <w:p w14:paraId="5F6BA972">
          <w:pPr>
            <w:pStyle w:val="5"/>
            <w:rPr>
              <w:rFonts w:hint="eastAsia"/>
            </w:rPr>
          </w:pPr>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C5A"/>
    <w:rsid w:val="00010DB5"/>
    <w:rsid w:val="000C1D68"/>
    <w:rsid w:val="000C30CB"/>
    <w:rsid w:val="00151B77"/>
    <w:rsid w:val="00196EE3"/>
    <w:rsid w:val="001A35F4"/>
    <w:rsid w:val="00281828"/>
    <w:rsid w:val="002B0B64"/>
    <w:rsid w:val="003903D9"/>
    <w:rsid w:val="003A5031"/>
    <w:rsid w:val="0057760A"/>
    <w:rsid w:val="005C3CA9"/>
    <w:rsid w:val="00677D30"/>
    <w:rsid w:val="006C7C5A"/>
    <w:rsid w:val="0073685B"/>
    <w:rsid w:val="00775666"/>
    <w:rsid w:val="00791DF3"/>
    <w:rsid w:val="007A7919"/>
    <w:rsid w:val="00884EFD"/>
    <w:rsid w:val="008A0555"/>
    <w:rsid w:val="008C4646"/>
    <w:rsid w:val="0092700C"/>
    <w:rsid w:val="009330CE"/>
    <w:rsid w:val="009C3B52"/>
    <w:rsid w:val="009C4DF9"/>
    <w:rsid w:val="009F3746"/>
    <w:rsid w:val="00A63D53"/>
    <w:rsid w:val="00C17114"/>
    <w:rsid w:val="00CD59A7"/>
    <w:rsid w:val="00CF0CE8"/>
    <w:rsid w:val="00D856DC"/>
    <w:rsid w:val="00E101B8"/>
    <w:rsid w:val="00E50E3A"/>
    <w:rsid w:val="00F053F0"/>
    <w:rsid w:val="00F06F19"/>
    <w:rsid w:val="00F224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700EADEBB3C54809893CCF967E895BF8"/>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13</Pages>
  <Words>3171</Words>
  <Characters>3667</Characters>
  <Lines>35</Lines>
  <Paragraphs>10</Paragraphs>
  <TotalTime>36</TotalTime>
  <ScaleCrop>false</ScaleCrop>
  <LinksUpToDate>false</LinksUpToDate>
  <CharactersWithSpaces>3833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2023-05-13T07:50:00Z</dcterms:created>
  <dc:creator>admin</dc:creator>
  <dc:description>&lt;config cover="true" show_menu="true" version="1.0.0" doctype="SDKXY"&gt;_x000d_
&lt;/config&gt;</dc:description>
  <cp:lastModifiedBy>十月</cp:lastModifiedBy>
  <cp:lastPrinted>2021-02-02T08:22:00Z</cp:lastPrinted>
  <dcterms:modified xsi:type="dcterms:W3CDTF">2024-11-13T03:44:25Z</dcterms:modified>
  <dc:title>团体标准</dc:title>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_KSOProductBuildMID">
    <vt:lpwstr>CPWMR6GE7R9Q00BGRQRNYLJF7NM0OXGRQE06TJECXF88TQCT6IBR0C0CFYYTP86RBFM6SOL5ZH578HXJQEFT6FF68RFMWIWBAFODPHB3FB107E4CA31A3E2256C2F621DD2AED8B</vt:lpwstr>
  </property>
  <property fmtid="{D5CDD505-2E9C-101B-9397-08002B2CF9AE}" pid="15" name="_KSOProductBuildSID">
    <vt:lpwstr>90026A0A4989020E88186C7B146F2341</vt:lpwstr>
  </property>
  <property fmtid="{D5CDD505-2E9C-101B-9397-08002B2CF9AE}" pid="16" name="KSOProductBuildVer">
    <vt:lpwstr>2052-12.1.0.18912</vt:lpwstr>
  </property>
  <property fmtid="{D5CDD505-2E9C-101B-9397-08002B2CF9AE}" pid="17" name="ICV">
    <vt:lpwstr>063F5566AE1344EABF5FA6E7864132D6_13</vt:lpwstr>
  </property>
</Properties>
</file>