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Lines="50" w:afterLines="50"/>
      </w:pPr>
    </w:p>
    <w:p>
      <w:pPr>
        <w:pStyle w:val="2"/>
        <w:spacing w:beforeLines="50" w:afterLines="50"/>
      </w:pPr>
    </w:p>
    <w:p>
      <w:pPr>
        <w:spacing w:beforeLines="50" w:afterLines="50"/>
        <w:ind w:left="951" w:right="932" w:firstLine="33"/>
        <w:jc w:val="center"/>
        <w:outlineLvl w:val="0"/>
        <w:rPr>
          <w:rFonts w:ascii="宋体" w:hAnsi="宋体" w:eastAsia="宋体" w:cs="宋体"/>
          <w:b/>
          <w:bCs/>
          <w:spacing w:val="3"/>
          <w:sz w:val="42"/>
          <w:szCs w:val="42"/>
          <w:lang w:eastAsia="zh-CN"/>
        </w:rPr>
      </w:pPr>
      <w:r>
        <w:rPr>
          <w:rFonts w:ascii="宋体" w:hAnsi="宋体" w:eastAsia="宋体" w:cs="宋体"/>
          <w:b/>
          <w:bCs/>
          <w:spacing w:val="3"/>
          <w:sz w:val="42"/>
          <w:szCs w:val="42"/>
          <w:lang w:eastAsia="zh-CN"/>
        </w:rPr>
        <w:t>中国出入境检验检疫协会团体标</w:t>
      </w:r>
    </w:p>
    <w:p>
      <w:pPr>
        <w:spacing w:beforeLines="50" w:afterLines="50"/>
        <w:jc w:val="center"/>
        <w:outlineLvl w:val="0"/>
        <w:rPr>
          <w:rFonts w:ascii="宋体" w:hAnsi="宋体" w:eastAsia="宋体" w:cs="宋体"/>
          <w:sz w:val="42"/>
          <w:szCs w:val="42"/>
          <w:lang w:eastAsia="zh-CN"/>
        </w:rPr>
      </w:pPr>
      <w:r>
        <w:rPr>
          <w:rFonts w:ascii="宋体" w:hAnsi="宋体" w:eastAsia="宋体" w:cs="宋体"/>
          <w:b/>
          <w:bCs/>
          <w:spacing w:val="4"/>
          <w:sz w:val="42"/>
          <w:szCs w:val="42"/>
          <w:lang w:eastAsia="zh-CN"/>
        </w:rPr>
        <w:t>《</w:t>
      </w:r>
      <w:r>
        <w:rPr>
          <w:rFonts w:hint="eastAsia" w:ascii="宋体" w:hAnsi="宋体" w:eastAsia="宋体" w:cs="宋体"/>
          <w:b/>
          <w:bCs/>
          <w:spacing w:val="3"/>
          <w:sz w:val="42"/>
          <w:szCs w:val="42"/>
          <w:lang w:eastAsia="zh-CN"/>
        </w:rPr>
        <w:t>茶翅蝽溴甲烷熏蒸操作规程</w:t>
      </w:r>
      <w:r>
        <w:rPr>
          <w:rFonts w:ascii="宋体" w:hAnsi="宋体" w:eastAsia="宋体" w:cs="宋体"/>
          <w:b/>
          <w:bCs/>
          <w:spacing w:val="4"/>
          <w:sz w:val="42"/>
          <w:szCs w:val="42"/>
          <w:lang w:eastAsia="zh-CN"/>
        </w:rPr>
        <w:t>》</w:t>
      </w:r>
    </w:p>
    <w:p>
      <w:pPr>
        <w:pStyle w:val="2"/>
        <w:spacing w:beforeLines="50" w:afterLines="50"/>
        <w:jc w:val="center"/>
        <w:rPr>
          <w:lang w:eastAsia="zh-CN"/>
        </w:rPr>
      </w:pPr>
    </w:p>
    <w:p>
      <w:pPr>
        <w:pStyle w:val="2"/>
        <w:spacing w:beforeLines="50" w:afterLines="50"/>
        <w:rPr>
          <w:lang w:eastAsia="zh-CN"/>
        </w:rPr>
      </w:pPr>
    </w:p>
    <w:p>
      <w:pPr>
        <w:pStyle w:val="2"/>
        <w:spacing w:beforeLines="50" w:afterLines="50"/>
        <w:rPr>
          <w:lang w:eastAsia="zh-CN"/>
        </w:rPr>
      </w:pPr>
    </w:p>
    <w:p>
      <w:pPr>
        <w:pStyle w:val="2"/>
        <w:spacing w:beforeLines="50" w:afterLines="50"/>
        <w:rPr>
          <w:lang w:eastAsia="zh-CN"/>
        </w:rPr>
      </w:pPr>
    </w:p>
    <w:p>
      <w:pPr>
        <w:spacing w:beforeLines="50" w:afterLines="50"/>
        <w:rPr>
          <w:rFonts w:ascii="宋体" w:hAnsi="宋体" w:eastAsia="宋体" w:cs="宋体"/>
          <w:b/>
          <w:bCs/>
          <w:sz w:val="42"/>
          <w:szCs w:val="42"/>
          <w:lang w:eastAsia="zh-CN"/>
        </w:rPr>
      </w:pPr>
    </w:p>
    <w:p>
      <w:pPr>
        <w:spacing w:beforeLines="50" w:afterLines="50"/>
        <w:jc w:val="center"/>
        <w:rPr>
          <w:rFonts w:ascii="宋体" w:hAnsi="宋体" w:eastAsia="宋体" w:cs="宋体"/>
          <w:sz w:val="42"/>
          <w:szCs w:val="42"/>
          <w:lang w:eastAsia="zh-CN"/>
        </w:rPr>
      </w:pPr>
      <w:r>
        <w:rPr>
          <w:rFonts w:ascii="宋体" w:hAnsi="宋体" w:eastAsia="宋体" w:cs="宋体"/>
          <w:b/>
          <w:bCs/>
          <w:sz w:val="42"/>
          <w:szCs w:val="42"/>
          <w:lang w:eastAsia="zh-CN"/>
        </w:rPr>
        <w:t>（</w:t>
      </w:r>
      <w:r>
        <w:rPr>
          <w:rFonts w:hint="eastAsia" w:ascii="宋体" w:hAnsi="宋体" w:eastAsia="宋体" w:cs="宋体"/>
          <w:b/>
          <w:bCs/>
          <w:sz w:val="42"/>
          <w:szCs w:val="42"/>
          <w:lang w:eastAsia="zh-CN"/>
        </w:rPr>
        <w:t>报批稿</w:t>
      </w:r>
      <w:r>
        <w:rPr>
          <w:rFonts w:ascii="宋体" w:hAnsi="宋体" w:eastAsia="宋体" w:cs="宋体"/>
          <w:b/>
          <w:bCs/>
          <w:sz w:val="42"/>
          <w:szCs w:val="42"/>
          <w:lang w:eastAsia="zh-CN"/>
        </w:rPr>
        <w:t>）</w:t>
      </w:r>
    </w:p>
    <w:p>
      <w:pPr>
        <w:pStyle w:val="2"/>
        <w:spacing w:beforeLines="50" w:afterLines="50"/>
        <w:rPr>
          <w:lang w:eastAsia="zh-CN"/>
        </w:rPr>
      </w:pPr>
    </w:p>
    <w:p>
      <w:pPr>
        <w:pStyle w:val="2"/>
        <w:spacing w:beforeLines="50" w:afterLines="50"/>
        <w:rPr>
          <w:lang w:eastAsia="zh-CN"/>
        </w:rPr>
      </w:pPr>
    </w:p>
    <w:p>
      <w:pPr>
        <w:pStyle w:val="2"/>
        <w:spacing w:beforeLines="50" w:afterLines="50"/>
        <w:rPr>
          <w:lang w:eastAsia="zh-CN"/>
        </w:rPr>
      </w:pPr>
    </w:p>
    <w:p>
      <w:pPr>
        <w:pStyle w:val="2"/>
        <w:spacing w:beforeLines="50" w:afterLines="50"/>
        <w:rPr>
          <w:lang w:eastAsia="zh-CN"/>
        </w:rPr>
      </w:pPr>
    </w:p>
    <w:p>
      <w:pPr>
        <w:pStyle w:val="2"/>
        <w:spacing w:beforeLines="50" w:afterLines="50"/>
        <w:rPr>
          <w:lang w:eastAsia="zh-CN"/>
        </w:rPr>
      </w:pPr>
    </w:p>
    <w:p>
      <w:pPr>
        <w:pStyle w:val="2"/>
        <w:spacing w:beforeLines="50" w:afterLines="50"/>
        <w:rPr>
          <w:lang w:eastAsia="zh-CN"/>
        </w:rPr>
      </w:pPr>
    </w:p>
    <w:p>
      <w:pPr>
        <w:spacing w:beforeLines="50" w:afterLines="50"/>
        <w:rPr>
          <w:rFonts w:ascii="宋体" w:hAnsi="宋体" w:eastAsia="宋体" w:cs="宋体"/>
          <w:b/>
          <w:bCs/>
          <w:spacing w:val="2"/>
          <w:sz w:val="42"/>
          <w:szCs w:val="42"/>
          <w:lang w:eastAsia="zh-CN"/>
        </w:rPr>
      </w:pPr>
    </w:p>
    <w:p>
      <w:pPr>
        <w:spacing w:beforeLines="50" w:afterLines="50"/>
        <w:jc w:val="center"/>
        <w:rPr>
          <w:rFonts w:ascii="宋体" w:hAnsi="宋体" w:eastAsia="宋体" w:cs="宋体"/>
          <w:sz w:val="42"/>
          <w:szCs w:val="42"/>
          <w:lang w:eastAsia="zh-CN"/>
        </w:rPr>
      </w:pPr>
      <w:r>
        <w:rPr>
          <w:rFonts w:ascii="宋体" w:hAnsi="宋体" w:eastAsia="宋体" w:cs="宋体"/>
          <w:b/>
          <w:bCs/>
          <w:spacing w:val="2"/>
          <w:sz w:val="42"/>
          <w:szCs w:val="42"/>
          <w:lang w:eastAsia="zh-CN"/>
        </w:rPr>
        <w:t>编制说明</w:t>
      </w:r>
    </w:p>
    <w:p>
      <w:pPr>
        <w:pStyle w:val="2"/>
        <w:spacing w:beforeLines="50" w:afterLines="50"/>
        <w:rPr>
          <w:lang w:eastAsia="zh-CN"/>
        </w:rPr>
      </w:pPr>
    </w:p>
    <w:p>
      <w:pPr>
        <w:pStyle w:val="2"/>
        <w:spacing w:beforeLines="50" w:afterLines="50"/>
        <w:rPr>
          <w:lang w:eastAsia="zh-CN"/>
        </w:rPr>
      </w:pPr>
    </w:p>
    <w:p>
      <w:pPr>
        <w:pStyle w:val="2"/>
        <w:spacing w:beforeLines="50" w:afterLines="50"/>
        <w:rPr>
          <w:lang w:eastAsia="zh-CN"/>
        </w:rPr>
      </w:pPr>
    </w:p>
    <w:p>
      <w:pPr>
        <w:pStyle w:val="2"/>
        <w:spacing w:beforeLines="50" w:afterLines="50"/>
        <w:rPr>
          <w:lang w:eastAsia="zh-CN"/>
        </w:rPr>
      </w:pPr>
    </w:p>
    <w:p>
      <w:pPr>
        <w:pStyle w:val="2"/>
        <w:spacing w:beforeLines="50" w:afterLines="50"/>
        <w:rPr>
          <w:lang w:eastAsia="zh-CN"/>
        </w:rPr>
      </w:pPr>
    </w:p>
    <w:p>
      <w:pPr>
        <w:pStyle w:val="2"/>
        <w:spacing w:beforeLines="50" w:afterLines="50"/>
        <w:rPr>
          <w:lang w:eastAsia="zh-CN"/>
        </w:rPr>
      </w:pPr>
    </w:p>
    <w:p>
      <w:pPr>
        <w:pStyle w:val="2"/>
        <w:spacing w:beforeLines="50" w:afterLines="50"/>
        <w:rPr>
          <w:lang w:eastAsia="zh-CN"/>
        </w:rPr>
      </w:pPr>
    </w:p>
    <w:p>
      <w:pPr>
        <w:pStyle w:val="2"/>
        <w:spacing w:beforeLines="50" w:afterLines="50"/>
        <w:rPr>
          <w:lang w:eastAsia="zh-CN"/>
        </w:rPr>
      </w:pPr>
    </w:p>
    <w:p>
      <w:pPr>
        <w:pStyle w:val="2"/>
        <w:spacing w:beforeLines="50" w:afterLines="50"/>
        <w:rPr>
          <w:lang w:eastAsia="zh-CN"/>
        </w:rPr>
      </w:pPr>
    </w:p>
    <w:p>
      <w:pPr>
        <w:pStyle w:val="2"/>
        <w:spacing w:beforeLines="50" w:afterLines="50"/>
        <w:rPr>
          <w:lang w:eastAsia="zh-CN"/>
        </w:rPr>
      </w:pPr>
    </w:p>
    <w:p>
      <w:pPr>
        <w:pStyle w:val="2"/>
        <w:spacing w:beforeLines="50" w:afterLines="50"/>
        <w:rPr>
          <w:lang w:eastAsia="zh-CN"/>
        </w:rPr>
      </w:pPr>
    </w:p>
    <w:p>
      <w:pPr>
        <w:pStyle w:val="2"/>
        <w:spacing w:beforeLines="50" w:afterLines="50"/>
        <w:rPr>
          <w:lang w:eastAsia="zh-CN"/>
        </w:rPr>
      </w:pPr>
    </w:p>
    <w:p>
      <w:pPr>
        <w:pStyle w:val="2"/>
        <w:spacing w:beforeLines="50" w:afterLines="50"/>
        <w:rPr>
          <w:lang w:eastAsia="zh-CN"/>
        </w:rPr>
      </w:pPr>
    </w:p>
    <w:p>
      <w:pPr>
        <w:spacing w:beforeLines="50" w:afterLines="50"/>
        <w:jc w:val="center"/>
        <w:rPr>
          <w:rFonts w:ascii="黑体" w:hAnsi="黑体" w:eastAsia="黑体" w:cs="黑体"/>
          <w:sz w:val="31"/>
          <w:szCs w:val="31"/>
          <w:lang w:eastAsia="zh-CN"/>
        </w:rPr>
      </w:pPr>
      <w:r>
        <w:rPr>
          <w:rFonts w:ascii="黑体" w:hAnsi="黑体" w:eastAsia="黑体" w:cs="黑体"/>
          <w:spacing w:val="7"/>
          <w:sz w:val="31"/>
          <w:szCs w:val="31"/>
          <w:lang w:eastAsia="zh-CN"/>
        </w:rPr>
        <w:t>标准起草组</w:t>
      </w:r>
    </w:p>
    <w:p>
      <w:pPr>
        <w:spacing w:beforeLines="50" w:afterLines="50"/>
        <w:ind w:firstLine="2916" w:firstLineChars="900"/>
        <w:rPr>
          <w:rFonts w:ascii="黑体" w:hAnsi="黑体" w:eastAsia="黑体" w:cs="黑体"/>
          <w:sz w:val="31"/>
          <w:szCs w:val="31"/>
          <w:lang w:eastAsia="zh-CN"/>
        </w:rPr>
      </w:pPr>
      <w:r>
        <w:rPr>
          <w:rFonts w:ascii="黑体" w:hAnsi="黑体" w:eastAsia="黑体" w:cs="黑体"/>
          <w:spacing w:val="7"/>
          <w:sz w:val="31"/>
          <w:szCs w:val="31"/>
          <w:lang w:eastAsia="zh-CN"/>
        </w:rPr>
        <w:t>二</w:t>
      </w:r>
      <w:r>
        <w:rPr>
          <w:rFonts w:ascii="黑体" w:hAnsi="黑体" w:eastAsia="黑体" w:cs="黑体"/>
          <w:spacing w:val="7"/>
          <w:sz w:val="31"/>
          <w:szCs w:val="31"/>
        </w:rPr>
        <w:t>Ο</w:t>
      </w:r>
      <w:r>
        <w:rPr>
          <w:rFonts w:ascii="黑体" w:hAnsi="黑体" w:eastAsia="黑体" w:cs="黑体"/>
          <w:spacing w:val="7"/>
          <w:sz w:val="31"/>
          <w:szCs w:val="31"/>
          <w:lang w:eastAsia="zh-CN"/>
        </w:rPr>
        <w:t>二</w:t>
      </w:r>
      <w:r>
        <w:rPr>
          <w:rFonts w:hint="eastAsia" w:ascii="黑体" w:hAnsi="黑体" w:eastAsia="黑体" w:cs="黑体"/>
          <w:spacing w:val="7"/>
          <w:sz w:val="31"/>
          <w:szCs w:val="31"/>
          <w:lang w:eastAsia="zh-CN"/>
        </w:rPr>
        <w:t>四</w:t>
      </w:r>
      <w:r>
        <w:rPr>
          <w:rFonts w:ascii="黑体" w:hAnsi="黑体" w:eastAsia="黑体" w:cs="黑体"/>
          <w:spacing w:val="7"/>
          <w:sz w:val="31"/>
          <w:szCs w:val="31"/>
          <w:lang w:eastAsia="zh-CN"/>
        </w:rPr>
        <w:t>年</w:t>
      </w:r>
      <w:r>
        <w:rPr>
          <w:rFonts w:hint="eastAsia" w:ascii="黑体" w:hAnsi="黑体" w:eastAsia="黑体" w:cs="黑体"/>
          <w:spacing w:val="7"/>
          <w:sz w:val="31"/>
          <w:szCs w:val="31"/>
          <w:lang w:eastAsia="zh-CN"/>
        </w:rPr>
        <w:t>十一</w:t>
      </w:r>
      <w:r>
        <w:rPr>
          <w:rFonts w:ascii="黑体" w:hAnsi="黑体" w:eastAsia="黑体" w:cs="黑体"/>
          <w:spacing w:val="7"/>
          <w:sz w:val="31"/>
          <w:szCs w:val="31"/>
          <w:lang w:eastAsia="zh-CN"/>
        </w:rPr>
        <w:t>月</w:t>
      </w:r>
    </w:p>
    <w:p>
      <w:pPr>
        <w:spacing w:beforeLines="50" w:afterLines="50"/>
        <w:rPr>
          <w:rFonts w:ascii="黑体" w:hAnsi="黑体" w:eastAsia="黑体" w:cs="黑体"/>
          <w:sz w:val="31"/>
          <w:szCs w:val="31"/>
          <w:lang w:eastAsia="zh-CN"/>
        </w:rPr>
        <w:sectPr>
          <w:pgSz w:w="11906" w:h="16839"/>
          <w:pgMar w:top="1431" w:right="1785" w:bottom="0" w:left="1785" w:header="0" w:footer="0" w:gutter="0"/>
          <w:cols w:space="720" w:num="1"/>
        </w:sectPr>
      </w:pPr>
    </w:p>
    <w:p>
      <w:pPr>
        <w:spacing w:beforeLines="50" w:afterLines="50"/>
        <w:jc w:val="center"/>
        <w:rPr>
          <w:rFonts w:ascii="黑体" w:hAnsi="黑体" w:eastAsia="黑体" w:cs="黑体"/>
          <w:sz w:val="31"/>
          <w:szCs w:val="31"/>
          <w:lang w:eastAsia="zh-CN"/>
        </w:rPr>
      </w:pPr>
      <w:r>
        <w:rPr>
          <w:rFonts w:ascii="黑体" w:hAnsi="黑体" w:eastAsia="黑体" w:cs="黑体"/>
          <w:spacing w:val="7"/>
          <w:sz w:val="31"/>
          <w:szCs w:val="31"/>
          <w:lang w:eastAsia="zh-CN"/>
        </w:rPr>
        <w:t>《</w:t>
      </w:r>
      <w:r>
        <w:rPr>
          <w:rFonts w:hint="eastAsia" w:ascii="黑体" w:hAnsi="黑体" w:eastAsia="黑体" w:cs="黑体"/>
          <w:spacing w:val="5"/>
          <w:sz w:val="31"/>
          <w:szCs w:val="31"/>
          <w:lang w:eastAsia="zh-CN"/>
        </w:rPr>
        <w:t>茶翅蝽溴甲烷熏蒸操作规程</w:t>
      </w:r>
      <w:r>
        <w:rPr>
          <w:rFonts w:ascii="黑体" w:hAnsi="黑体" w:eastAsia="黑体" w:cs="黑体"/>
          <w:spacing w:val="7"/>
          <w:sz w:val="31"/>
          <w:szCs w:val="31"/>
          <w:lang w:eastAsia="zh-CN"/>
        </w:rPr>
        <w:t>》</w:t>
      </w:r>
    </w:p>
    <w:p>
      <w:pPr>
        <w:spacing w:beforeLines="50" w:afterLines="50"/>
        <w:jc w:val="center"/>
        <w:outlineLvl w:val="0"/>
        <w:rPr>
          <w:rFonts w:ascii="黑体" w:hAnsi="黑体" w:eastAsia="黑体" w:cs="黑体"/>
          <w:sz w:val="31"/>
          <w:szCs w:val="31"/>
        </w:rPr>
      </w:pPr>
      <w:r>
        <w:rPr>
          <w:rFonts w:ascii="黑体" w:hAnsi="黑体" w:eastAsia="黑体" w:cs="黑体"/>
          <w:spacing w:val="5"/>
          <w:sz w:val="31"/>
          <w:szCs w:val="31"/>
        </w:rPr>
        <w:t>团体标准编制说明</w:t>
      </w:r>
    </w:p>
    <w:p>
      <w:pPr>
        <w:pStyle w:val="10"/>
        <w:numPr>
          <w:ilvl w:val="0"/>
          <w:numId w:val="1"/>
        </w:numPr>
        <w:snapToGrid w:val="0"/>
        <w:spacing w:before="312" w:after="312"/>
        <w:ind w:firstLine="0"/>
        <w:outlineLvl w:val="0"/>
        <w:rPr>
          <w:rFonts w:ascii="Times New Roman"/>
          <w:b/>
          <w:bCs/>
        </w:rPr>
      </w:pPr>
      <w:r>
        <w:rPr>
          <w:rFonts w:hint="eastAsia" w:ascii="Times New Roman"/>
          <w:b/>
          <w:bCs/>
        </w:rPr>
        <w:t>背景简况及任务来源</w:t>
      </w:r>
    </w:p>
    <w:p>
      <w:pPr>
        <w:numPr>
          <w:ilvl w:val="0"/>
          <w:numId w:val="2"/>
        </w:numPr>
        <w:spacing w:beforeLines="50" w:afterLines="50"/>
        <w:ind w:right="108"/>
        <w:jc w:val="both"/>
        <w:rPr>
          <w:rFonts w:ascii="黑体" w:hAnsi="黑体" w:eastAsia="黑体" w:cs="黑体"/>
          <w:b/>
          <w:bCs/>
          <w:snapToGrid/>
          <w:color w:val="auto"/>
          <w:szCs w:val="20"/>
          <w:lang w:eastAsia="zh-CN"/>
        </w:rPr>
      </w:pPr>
      <w:r>
        <w:rPr>
          <w:rFonts w:hint="eastAsia" w:ascii="黑体" w:hAnsi="黑体" w:eastAsia="黑体" w:cs="黑体"/>
          <w:b/>
          <w:bCs/>
          <w:snapToGrid/>
          <w:color w:val="auto"/>
          <w:szCs w:val="20"/>
          <w:lang w:eastAsia="zh-CN"/>
        </w:rPr>
        <w:t>背景</w:t>
      </w:r>
      <w:r>
        <w:rPr>
          <w:rFonts w:hint="eastAsia" w:ascii="黑体" w:hAnsi="黑体" w:eastAsia="黑体" w:cs="黑体"/>
          <w:b/>
          <w:bCs/>
          <w:snapToGrid/>
          <w:color w:val="auto"/>
          <w:szCs w:val="20"/>
          <w:lang w:val="en-US" w:eastAsia="zh-CN"/>
        </w:rPr>
        <w:t>简况</w:t>
      </w:r>
    </w:p>
    <w:p>
      <w:pPr>
        <w:pStyle w:val="10"/>
        <w:snapToGrid w:val="0"/>
        <w:spacing w:beforeLines="50" w:afterLines="50"/>
        <w:outlineLvl w:val="0"/>
        <w:rPr>
          <w:rFonts w:hint="default" w:hAnsi="黑体" w:eastAsia="黑体" w:cs="黑体"/>
          <w:lang w:val="en-US" w:eastAsia="zh-CN"/>
        </w:rPr>
      </w:pPr>
      <w:r>
        <w:rPr>
          <w:rFonts w:hint="eastAsia" w:hAnsi="黑体" w:cs="黑体"/>
          <w:lang w:val="en-US" w:eastAsia="zh-CN"/>
        </w:rPr>
        <w:t>1</w:t>
      </w:r>
      <w:r>
        <w:rPr>
          <w:rFonts w:hint="eastAsia" w:hAnsi="黑体" w:cs="黑体"/>
        </w:rPr>
        <w:t xml:space="preserve">.1 </w:t>
      </w:r>
      <w:r>
        <w:rPr>
          <w:rFonts w:hint="eastAsia" w:hAnsi="黑体" w:cs="黑体"/>
          <w:lang w:val="en-US" w:eastAsia="zh-CN"/>
        </w:rPr>
        <w:t>茶翅蝽的发生及危害</w:t>
      </w:r>
    </w:p>
    <w:p>
      <w:pPr>
        <w:widowControl w:val="0"/>
        <w:kinsoku/>
        <w:autoSpaceDE/>
        <w:autoSpaceDN/>
        <w:adjustRightInd/>
        <w:snapToGrid/>
        <w:ind w:firstLine="420" w:firstLineChars="200"/>
        <w:jc w:val="both"/>
        <w:textAlignment w:val="auto"/>
        <w:rPr>
          <w:rFonts w:hint="eastAsia" w:ascii="宋体" w:hAnsi="宋体" w:eastAsia="宋体" w:cs="宋体"/>
          <w:snapToGrid/>
          <w:kern w:val="2"/>
          <w:lang w:eastAsia="zh-CN"/>
        </w:rPr>
      </w:pPr>
      <w:r>
        <w:rPr>
          <w:rFonts w:hint="eastAsia" w:ascii="宋体" w:hAnsi="宋体" w:eastAsia="宋体" w:cs="宋体"/>
          <w:snapToGrid/>
          <w:kern w:val="2"/>
          <w:lang w:eastAsia="zh-CN"/>
        </w:rPr>
        <w:t>茶翅蝽，是半翅目蝽科茶翅蝽属的害虫，俗称“臭板虫”、“臭大姐”，食性杂，寄主范围广泛，能以刺吸式口器刺入果实、嫩叶和植物枝条吸取汁液，对作物和树木均有危害。该害虫目前已从东亚扩散到北美和欧洲定殖，但在澳大利亚、新西兰两国还没有广泛存在。</w:t>
      </w:r>
    </w:p>
    <w:p>
      <w:pPr>
        <w:widowControl w:val="0"/>
        <w:kinsoku/>
        <w:autoSpaceDE/>
        <w:autoSpaceDN/>
        <w:adjustRightInd/>
        <w:snapToGrid/>
        <w:ind w:firstLine="420" w:firstLineChars="200"/>
        <w:jc w:val="both"/>
        <w:textAlignment w:val="auto"/>
        <w:rPr>
          <w:rFonts w:hint="eastAsia" w:ascii="宋体" w:hAnsi="宋体" w:eastAsia="宋体" w:cs="宋体"/>
          <w:snapToGrid/>
          <w:kern w:val="2"/>
          <w:lang w:eastAsia="zh-CN"/>
        </w:rPr>
      </w:pPr>
      <w:r>
        <w:rPr>
          <w:rFonts w:hint="eastAsia" w:ascii="宋体" w:hAnsi="宋体" w:eastAsia="宋体" w:cs="宋体"/>
          <w:snapToGrid/>
          <w:kern w:val="2"/>
          <w:lang w:eastAsia="zh-CN"/>
        </w:rPr>
        <w:t>该害虫成虫在冬季寻求避寒处所时，往往会进入集装箱、车辆、机械以及其他货物内。所以如同舞毒蛾一样，茶翅蝽也被认为是一种“搭便车害虫”，即可以通过国际贸易中的远洋船只进行传播，在冬季出口时传带风险很高。茶翅蝽进入一个新的入侵地，由于缺乏自然天敌的控制，能迅速演变成为主要害虫。澳大利亚科学院通过评估，得出结论：茶翅蝽或让澳大利亚300多种农业和观赏植物处于危险中，对环境和经济造成重大损害，对澳大利亚的园艺产业造成破坏性的影响，还会在住房和仓库上聚集造成严重社会问题。</w:t>
      </w:r>
    </w:p>
    <w:p>
      <w:pPr>
        <w:pStyle w:val="10"/>
        <w:snapToGrid w:val="0"/>
        <w:spacing w:beforeLines="50" w:afterLines="50"/>
        <w:outlineLvl w:val="0"/>
        <w:rPr>
          <w:rFonts w:hint="eastAsia" w:hAnsi="黑体" w:cs="黑体"/>
          <w:lang w:val="en-US" w:eastAsia="zh-CN"/>
        </w:rPr>
      </w:pPr>
      <w:r>
        <w:rPr>
          <w:rFonts w:hint="eastAsia" w:hAnsi="黑体" w:cs="黑体"/>
          <w:lang w:val="en-US" w:eastAsia="zh-CN"/>
        </w:rPr>
        <w:t>1.2茶翅蝽季节性检疫措施</w:t>
      </w:r>
    </w:p>
    <w:p>
      <w:pPr>
        <w:widowControl w:val="0"/>
        <w:kinsoku/>
        <w:autoSpaceDE/>
        <w:autoSpaceDN/>
        <w:adjustRightInd/>
        <w:snapToGrid/>
        <w:ind w:firstLine="420" w:firstLineChars="200"/>
        <w:jc w:val="both"/>
        <w:textAlignment w:val="auto"/>
        <w:rPr>
          <w:rFonts w:hint="default" w:ascii="宋体" w:hAnsi="宋体" w:eastAsia="宋体" w:cs="宋体"/>
          <w:snapToGrid/>
          <w:kern w:val="2"/>
          <w:lang w:val="en-US" w:eastAsia="zh-CN"/>
        </w:rPr>
      </w:pPr>
      <w:r>
        <w:rPr>
          <w:rFonts w:hint="default" w:ascii="宋体" w:hAnsi="宋体" w:eastAsia="宋体" w:cs="宋体"/>
          <w:snapToGrid/>
          <w:kern w:val="2"/>
          <w:lang w:val="en-US" w:eastAsia="zh-CN"/>
        </w:rPr>
        <w:t>为了严格管控害虫入侵的生物风险，针对茶翅蝽，澳大利亚专门制定并实施了茶翅蝽季节性检疫措施。将9 月1日至 4 月30日，即北半球的深秋和冬季，划定为茶翅蝽风险季节，并在该段时间实行茶翅蝽季节性检疫措施。即：在目标风险国家制造或从目标风险国家运出的目标高风险货物和目标风险货物，均需接受茶翅蝽 (BMSB) 干预。</w:t>
      </w:r>
    </w:p>
    <w:p>
      <w:pPr>
        <w:widowControl w:val="0"/>
        <w:kinsoku/>
        <w:autoSpaceDE/>
        <w:autoSpaceDN/>
        <w:adjustRightInd/>
        <w:snapToGrid/>
        <w:ind w:firstLine="420" w:firstLineChars="200"/>
        <w:jc w:val="both"/>
        <w:textAlignment w:val="auto"/>
        <w:rPr>
          <w:rFonts w:hint="default" w:ascii="宋体" w:hAnsi="宋体" w:eastAsia="宋体" w:cs="宋体"/>
          <w:snapToGrid/>
          <w:kern w:val="2"/>
          <w:lang w:val="en-US" w:eastAsia="zh-CN"/>
        </w:rPr>
      </w:pPr>
      <w:r>
        <w:rPr>
          <w:rFonts w:hint="default" w:ascii="宋体" w:hAnsi="宋体" w:eastAsia="宋体" w:cs="宋体"/>
          <w:snapToGrid/>
          <w:kern w:val="2"/>
          <w:lang w:val="en-US" w:eastAsia="zh-CN"/>
        </w:rPr>
        <w:t>在2018年澳大利亚农业与水资源部、新西兰初级产业部发布公告，将中国列入茶翅蝽风险季节的新兴风险国家。将对我国9月1日至12月31日（含）期间运输的货物进行随机检查。为避免出口货物在澳大利亚和新西兰通关受阻，以及避免澳大利亚和新西兰因截获茶翅蝽而对我国出口货物采取进一步检疫措施，海关总署办公厅发布《关于防范出口澳大利亚、新西兰货物传带茶翅蝽的预警通报》要求：各海关在对出口澳大利亚、新西兰货物查验时，如发现茶翅蝽等有害生物，应敦促企业进行有效处理。</w:t>
      </w:r>
    </w:p>
    <w:p>
      <w:pPr>
        <w:widowControl w:val="0"/>
        <w:kinsoku/>
        <w:autoSpaceDE/>
        <w:autoSpaceDN/>
        <w:adjustRightInd/>
        <w:snapToGrid/>
        <w:ind w:firstLine="420" w:firstLineChars="200"/>
        <w:jc w:val="both"/>
        <w:textAlignment w:val="auto"/>
        <w:rPr>
          <w:rFonts w:hint="default" w:ascii="宋体" w:hAnsi="宋体" w:eastAsia="宋体" w:cs="宋体"/>
          <w:snapToGrid/>
          <w:kern w:val="2"/>
          <w:lang w:val="en-US" w:eastAsia="zh-CN"/>
        </w:rPr>
      </w:pPr>
      <w:r>
        <w:rPr>
          <w:rFonts w:hint="default" w:ascii="宋体" w:hAnsi="宋体" w:eastAsia="宋体" w:cs="宋体"/>
          <w:snapToGrid/>
          <w:kern w:val="2"/>
          <w:lang w:val="en-US" w:eastAsia="zh-CN"/>
        </w:rPr>
        <w:t>在茶翅蝽风险季结束时，澳方将对检查结果进行评估并确定下一步措施：如果没有证据表明来自中国的茶翅蝽风险增加，则不再将中国列为新出现的风险国家，取消对源自中国的货物采取额外检查措施；如果认为来自中国的茶翅蝽风险有所增加，则可能将中国列为茶翅蝽目标风险国家，自中国出口的目标风险货物将须接受符合茶翅蝽季节性措施的强制处理要求。</w:t>
      </w:r>
    </w:p>
    <w:p>
      <w:pPr>
        <w:pStyle w:val="10"/>
        <w:snapToGrid w:val="0"/>
        <w:spacing w:beforeLines="50" w:afterLines="50"/>
        <w:outlineLvl w:val="0"/>
        <w:rPr>
          <w:rFonts w:hint="eastAsia" w:hAnsi="黑体" w:cs="黑体"/>
          <w:lang w:val="en-US" w:eastAsia="zh-CN"/>
        </w:rPr>
      </w:pPr>
      <w:r>
        <w:rPr>
          <w:rFonts w:hint="eastAsia" w:hAnsi="黑体" w:cs="黑体"/>
          <w:lang w:val="en-US" w:eastAsia="zh-CN"/>
        </w:rPr>
        <w:t>1.3国内外茶翅蝽熏蒸要求差异</w:t>
      </w:r>
    </w:p>
    <w:p>
      <w:pPr>
        <w:widowControl w:val="0"/>
        <w:kinsoku/>
        <w:autoSpaceDE/>
        <w:autoSpaceDN/>
        <w:adjustRightInd/>
        <w:snapToGrid/>
        <w:ind w:firstLine="420" w:firstLineChars="200"/>
        <w:jc w:val="both"/>
        <w:textAlignment w:val="auto"/>
        <w:rPr>
          <w:rFonts w:hint="default" w:ascii="宋体" w:hAnsi="宋体" w:eastAsia="宋体" w:cs="宋体"/>
          <w:snapToGrid/>
          <w:kern w:val="2"/>
          <w:lang w:val="en-US" w:eastAsia="zh-CN"/>
        </w:rPr>
      </w:pPr>
      <w:r>
        <w:rPr>
          <w:rFonts w:hint="default" w:ascii="宋体" w:hAnsi="宋体" w:eastAsia="宋体" w:cs="宋体"/>
          <w:snapToGrid/>
          <w:kern w:val="2"/>
          <w:lang w:val="en-US" w:eastAsia="zh-CN"/>
        </w:rPr>
        <w:t>国内存在</w:t>
      </w:r>
      <w:r>
        <w:rPr>
          <w:rFonts w:hint="eastAsia" w:ascii="宋体" w:hAnsi="宋体" w:eastAsia="宋体" w:cs="宋体"/>
          <w:snapToGrid/>
          <w:kern w:val="2"/>
          <w:lang w:val="en-US" w:eastAsia="zh-CN"/>
        </w:rPr>
        <w:t>的</w:t>
      </w:r>
      <w:r>
        <w:rPr>
          <w:rFonts w:hint="default" w:ascii="宋体" w:hAnsi="宋体" w:eastAsia="宋体" w:cs="宋体"/>
          <w:snapToGrid/>
          <w:kern w:val="2"/>
          <w:lang w:val="en-US" w:eastAsia="zh-CN"/>
        </w:rPr>
        <w:t>通用性</w:t>
      </w:r>
      <w:r>
        <w:rPr>
          <w:rFonts w:hint="eastAsia" w:ascii="宋体" w:hAnsi="宋体" w:eastAsia="宋体" w:cs="宋体"/>
          <w:snapToGrid/>
          <w:kern w:val="2"/>
          <w:lang w:val="en-US" w:eastAsia="zh-CN"/>
        </w:rPr>
        <w:t>溴甲烷</w:t>
      </w:r>
      <w:r>
        <w:rPr>
          <w:rFonts w:hint="default" w:ascii="宋体" w:hAnsi="宋体" w:eastAsia="宋体" w:cs="宋体"/>
          <w:snapToGrid/>
          <w:kern w:val="2"/>
          <w:lang w:val="en-US" w:eastAsia="zh-CN"/>
        </w:rPr>
        <w:t>熏蒸处理操作规程，如GB/T 36854-2018《集装箱熏蒸操作规程》、GB/T 31752-2015《溴甲烷检疫熏蒸库技术规范》和SN/T 1123-2010《帐幕熏蒸处理操作规程》，但以上操作规程与澳大利亚和新西兰的茶翅蝽溴甲烷熏蒸要求存在较大的合规性差异。合规性差异主要在货物的包装或覆盖方式、温度、浓度检测管安装位置、熏蒸剂使用、熏蒸剂浓度监测频次、熏蒸开始时间、熏蒸补救措施等方面。</w:t>
      </w:r>
    </w:p>
    <w:p>
      <w:pPr>
        <w:widowControl w:val="0"/>
        <w:kinsoku/>
        <w:autoSpaceDE/>
        <w:autoSpaceDN/>
        <w:adjustRightInd/>
        <w:snapToGrid/>
        <w:ind w:firstLine="420" w:firstLineChars="200"/>
        <w:jc w:val="both"/>
        <w:textAlignment w:val="auto"/>
        <w:rPr>
          <w:rFonts w:hint="eastAsia" w:ascii="宋体" w:hAnsi="宋体" w:eastAsia="宋体" w:cs="宋体"/>
          <w:snapToGrid/>
          <w:kern w:val="2"/>
          <w:lang w:val="en-US" w:eastAsia="zh-CN"/>
        </w:rPr>
      </w:pPr>
      <w:r>
        <w:rPr>
          <w:rFonts w:hint="eastAsia" w:ascii="宋体" w:hAnsi="宋体" w:eastAsia="宋体" w:cs="宋体"/>
          <w:snapToGrid/>
          <w:kern w:val="2"/>
          <w:lang w:val="en-US" w:eastAsia="zh-CN"/>
        </w:rPr>
        <w:t>如对温度的要求，GB/T 36854-2018 《集装箱熏蒸操作规程》和SN/T 1123-2010 《帐幕熏蒸处理操作规程》要求“熏蒸应在熏蒸密闭空间内的温度高于5℃的情况下实施”，而澳大利亚《BMSB溴甲烷熏蒸合规要求》则规定“托运货物的温度必须在10°C以上，并在处理期间测量”。</w:t>
      </w:r>
    </w:p>
    <w:p>
      <w:pPr>
        <w:widowControl w:val="0"/>
        <w:kinsoku/>
        <w:autoSpaceDE/>
        <w:autoSpaceDN/>
        <w:adjustRightInd/>
        <w:snapToGrid/>
        <w:ind w:firstLine="420" w:firstLineChars="200"/>
        <w:jc w:val="both"/>
        <w:textAlignment w:val="auto"/>
        <w:rPr>
          <w:rFonts w:hint="eastAsia" w:ascii="宋体" w:hAnsi="宋体" w:eastAsia="宋体" w:cs="宋体"/>
          <w:snapToGrid/>
          <w:kern w:val="2"/>
          <w:lang w:val="en-US" w:eastAsia="zh-CN"/>
        </w:rPr>
      </w:pPr>
      <w:r>
        <w:rPr>
          <w:rFonts w:hint="eastAsia" w:ascii="宋体" w:hAnsi="宋体" w:eastAsia="宋体" w:cs="宋体"/>
          <w:snapToGrid/>
          <w:kern w:val="2"/>
          <w:lang w:val="en-US" w:eastAsia="zh-CN"/>
        </w:rPr>
        <w:t>如熏蒸开始时间，GB/T 36854-2018 《集装箱熏蒸操作规程》要求“投药结束时间作为熏蒸正式开始时间”，SN/T 1123-2010 《帐幕熏蒸处理操作规程》要求“密封完成时间作为熏蒸开始时间”，GB/T 31752-2015 《溴甲烷检疫熏蒸库技术规》要求“气体浓度分布均匀时，关闭循环风机，开始熏蒸处理计时，熏蒸处理正式开始”，但澳大利亚《BMSB溴甲烷熏蒸合规要求》则规定“熏蒸开始时间在以下情况下确定：所有监测管的熏蒸剂浓度监测均等于或高于标准浓度，并且所有读数均处于平衡状态（15%）”。</w:t>
      </w:r>
    </w:p>
    <w:p>
      <w:pPr>
        <w:widowControl w:val="0"/>
        <w:kinsoku/>
        <w:autoSpaceDE/>
        <w:autoSpaceDN/>
        <w:adjustRightInd/>
        <w:snapToGrid/>
        <w:ind w:firstLine="420" w:firstLineChars="200"/>
        <w:jc w:val="both"/>
        <w:textAlignment w:val="auto"/>
        <w:rPr>
          <w:rFonts w:hint="eastAsia" w:ascii="宋体" w:hAnsi="宋体" w:eastAsia="宋体" w:cs="宋体"/>
          <w:snapToGrid/>
          <w:kern w:val="2"/>
          <w:lang w:val="en-US" w:eastAsia="zh-CN"/>
        </w:rPr>
      </w:pPr>
      <w:r>
        <w:rPr>
          <w:rFonts w:hint="eastAsia" w:ascii="宋体" w:hAnsi="宋体" w:eastAsia="宋体" w:cs="宋体"/>
          <w:snapToGrid/>
          <w:kern w:val="2"/>
          <w:lang w:val="en-US" w:eastAsia="zh-CN"/>
        </w:rPr>
        <w:t>如熏蒸补救措施的规定，</w:t>
      </w:r>
      <w:r>
        <w:rPr>
          <w:rFonts w:hint="default" w:ascii="宋体" w:hAnsi="宋体" w:eastAsia="宋体" w:cs="宋体"/>
          <w:snapToGrid/>
          <w:kern w:val="2"/>
          <w:lang w:val="en-US" w:eastAsia="zh-CN"/>
        </w:rPr>
        <w:t>GB/T 36854-2018《集装箱熏蒸操作规程》、GB/T 31752-2015《溴甲烷检疫熏蒸库技术规范》和SN/T 1123-2010《帐幕熏蒸处理操作规程》</w:t>
      </w:r>
      <w:r>
        <w:rPr>
          <w:rFonts w:hint="eastAsia" w:ascii="宋体" w:hAnsi="宋体" w:eastAsia="宋体" w:cs="宋体"/>
          <w:snapToGrid/>
          <w:kern w:val="2"/>
          <w:lang w:val="en-US" w:eastAsia="zh-CN"/>
        </w:rPr>
        <w:t>均允许在散气前熏蒸浓度低于标准(规定)浓度检测值5g/m</w:t>
      </w:r>
      <w:r>
        <w:rPr>
          <w:rFonts w:hint="eastAsia" w:ascii="宋体" w:hAnsi="宋体" w:eastAsia="宋体" w:cs="宋体"/>
          <w:snapToGrid/>
          <w:kern w:val="2"/>
          <w:vertAlign w:val="superscript"/>
          <w:lang w:val="en-US" w:eastAsia="zh-CN"/>
        </w:rPr>
        <w:t>3</w:t>
      </w:r>
      <w:r>
        <w:rPr>
          <w:rFonts w:hint="eastAsia" w:ascii="宋体" w:hAnsi="宋体" w:eastAsia="宋体" w:cs="宋体"/>
          <w:snapToGrid/>
          <w:kern w:val="2"/>
          <w:lang w:val="en-US" w:eastAsia="zh-CN"/>
        </w:rPr>
        <w:t>以内，可以进行补充投药。而澳大利亚《BMSB溴甲烷熏蒸合规要求》则规定如果在熏蒸过程中的任何时候，气体浓度低于处理计划的最小终点读数，则处理失败。</w:t>
      </w:r>
    </w:p>
    <w:p>
      <w:pPr>
        <w:widowControl w:val="0"/>
        <w:kinsoku/>
        <w:autoSpaceDE/>
        <w:autoSpaceDN/>
        <w:adjustRightInd/>
        <w:snapToGrid/>
        <w:ind w:firstLine="420" w:firstLineChars="200"/>
        <w:jc w:val="both"/>
        <w:textAlignment w:val="auto"/>
        <w:rPr>
          <w:rFonts w:hint="default" w:ascii="宋体" w:hAnsi="宋体" w:eastAsia="宋体" w:cs="宋体"/>
          <w:snapToGrid/>
          <w:kern w:val="2"/>
          <w:lang w:val="en-US" w:eastAsia="zh-CN"/>
        </w:rPr>
      </w:pPr>
      <w:r>
        <w:rPr>
          <w:rFonts w:hint="default" w:ascii="宋体" w:hAnsi="宋体" w:eastAsia="宋体" w:cs="宋体"/>
          <w:snapToGrid/>
          <w:kern w:val="2"/>
          <w:lang w:val="en-US" w:eastAsia="zh-CN"/>
        </w:rPr>
        <w:t>以上这些操作差异会直接导致中国出口至澳大利亚和新西兰的货物在熏蒸处理过程中不符合澳新两国的标准，从而影响货物的通关和贸易的顺利进行。因此，制定一个</w:t>
      </w:r>
      <w:r>
        <w:rPr>
          <w:rFonts w:hint="eastAsia" w:ascii="宋体" w:hAnsi="宋体" w:eastAsia="宋体" w:cs="宋体"/>
          <w:snapToGrid/>
          <w:kern w:val="2"/>
          <w:lang w:val="en-US" w:eastAsia="zh-CN"/>
        </w:rPr>
        <w:t>针对</w:t>
      </w:r>
      <w:r>
        <w:rPr>
          <w:rFonts w:hint="default" w:ascii="宋体" w:hAnsi="宋体" w:eastAsia="宋体" w:cs="宋体"/>
          <w:snapToGrid/>
          <w:kern w:val="2"/>
          <w:lang w:val="en-US" w:eastAsia="zh-CN"/>
        </w:rPr>
        <w:t>茶翅蝽</w:t>
      </w:r>
      <w:r>
        <w:rPr>
          <w:rFonts w:hint="eastAsia" w:ascii="宋体" w:hAnsi="宋体" w:eastAsia="宋体" w:cs="宋体"/>
          <w:snapToGrid/>
          <w:kern w:val="2"/>
          <w:lang w:val="en-US" w:eastAsia="zh-CN"/>
        </w:rPr>
        <w:t>的</w:t>
      </w:r>
      <w:r>
        <w:rPr>
          <w:rFonts w:hint="default" w:ascii="宋体" w:hAnsi="宋体" w:eastAsia="宋体" w:cs="宋体"/>
          <w:snapToGrid/>
          <w:kern w:val="2"/>
          <w:lang w:val="en-US" w:eastAsia="zh-CN"/>
        </w:rPr>
        <w:t>溴甲烷熏蒸操作规程的标准显得尤为重要。</w:t>
      </w:r>
    </w:p>
    <w:p>
      <w:pPr>
        <w:numPr>
          <w:ilvl w:val="0"/>
          <w:numId w:val="2"/>
        </w:numPr>
        <w:spacing w:beforeLines="50" w:afterLines="50"/>
        <w:ind w:right="108"/>
        <w:jc w:val="both"/>
        <w:rPr>
          <w:rFonts w:ascii="黑体" w:hAnsi="黑体" w:eastAsia="黑体" w:cs="黑体"/>
          <w:b/>
          <w:bCs/>
          <w:snapToGrid/>
          <w:color w:val="auto"/>
          <w:szCs w:val="20"/>
          <w:lang w:eastAsia="zh-CN"/>
        </w:rPr>
      </w:pPr>
      <w:r>
        <w:rPr>
          <w:rFonts w:hint="eastAsia" w:ascii="黑体" w:hAnsi="黑体" w:eastAsia="黑体" w:cs="黑体"/>
          <w:b/>
          <w:bCs/>
          <w:snapToGrid/>
          <w:color w:val="auto"/>
          <w:szCs w:val="20"/>
          <w:lang w:eastAsia="zh-CN"/>
        </w:rPr>
        <w:t>任务来源</w:t>
      </w:r>
    </w:p>
    <w:p>
      <w:pPr>
        <w:widowControl w:val="0"/>
        <w:kinsoku/>
        <w:autoSpaceDE/>
        <w:autoSpaceDN/>
        <w:adjustRightInd/>
        <w:snapToGrid/>
        <w:ind w:firstLine="420" w:firstLineChars="200"/>
        <w:jc w:val="both"/>
        <w:textAlignment w:val="auto"/>
        <w:rPr>
          <w:rFonts w:hint="eastAsia" w:ascii="宋体" w:hAnsi="宋体" w:eastAsia="宋体" w:cs="宋体"/>
          <w:snapToGrid/>
          <w:kern w:val="2"/>
          <w:lang w:eastAsia="zh-CN"/>
        </w:rPr>
      </w:pPr>
      <w:r>
        <w:rPr>
          <w:rFonts w:hint="eastAsia" w:ascii="宋体" w:hAnsi="宋体" w:eastAsia="宋体" w:cs="宋体"/>
          <w:snapToGrid/>
          <w:kern w:val="2"/>
          <w:lang w:eastAsia="zh-CN"/>
        </w:rPr>
        <w:t>本标准的制定任务来源于中国出入境检验检疫协会下达团体标准制定与修订项目批复文件，本标准由中国出入境检验检疫协会综合质量服务标准化技术委员会(CIOA/TC12)归口，任务下达计划号为中检协标(202</w:t>
      </w:r>
      <w:r>
        <w:rPr>
          <w:rFonts w:hint="eastAsia" w:ascii="宋体" w:hAnsi="宋体" w:eastAsia="宋体" w:cs="宋体"/>
          <w:snapToGrid/>
          <w:kern w:val="2"/>
          <w:lang w:val="en-US" w:eastAsia="zh-CN"/>
        </w:rPr>
        <w:t>4</w:t>
      </w:r>
      <w:r>
        <w:rPr>
          <w:rFonts w:hint="eastAsia" w:ascii="宋体" w:hAnsi="宋体" w:eastAsia="宋体" w:cs="宋体"/>
          <w:snapToGrid/>
          <w:kern w:val="2"/>
          <w:lang w:eastAsia="zh-CN"/>
        </w:rPr>
        <w:t>)</w:t>
      </w:r>
      <w:r>
        <w:rPr>
          <w:rFonts w:hint="eastAsia" w:ascii="宋体" w:hAnsi="宋体" w:eastAsia="宋体" w:cs="宋体"/>
          <w:snapToGrid/>
          <w:kern w:val="2"/>
          <w:lang w:val="en-US" w:eastAsia="zh-CN"/>
        </w:rPr>
        <w:t>6</w:t>
      </w:r>
      <w:r>
        <w:rPr>
          <w:rFonts w:hint="eastAsia" w:ascii="宋体" w:hAnsi="宋体" w:eastAsia="宋体" w:cs="宋体"/>
          <w:snapToGrid/>
          <w:kern w:val="2"/>
          <w:lang w:eastAsia="zh-CN"/>
        </w:rPr>
        <w:t>号，标准名称为:《茶翅蝽溴甲烷熏蒸操作规程》(立项号:P/CI0A-1</w:t>
      </w:r>
      <w:r>
        <w:rPr>
          <w:rFonts w:hint="eastAsia" w:ascii="宋体" w:hAnsi="宋体" w:eastAsia="宋体" w:cs="宋体"/>
          <w:snapToGrid/>
          <w:kern w:val="2"/>
          <w:lang w:val="en-US" w:eastAsia="zh-CN"/>
        </w:rPr>
        <w:t>73</w:t>
      </w:r>
      <w:r>
        <w:rPr>
          <w:rFonts w:hint="eastAsia" w:ascii="宋体" w:hAnsi="宋体" w:eastAsia="宋体" w:cs="宋体"/>
          <w:snapToGrid/>
          <w:kern w:val="2"/>
          <w:lang w:eastAsia="zh-CN"/>
        </w:rPr>
        <w:t>-202</w:t>
      </w:r>
      <w:r>
        <w:rPr>
          <w:rFonts w:hint="eastAsia" w:ascii="宋体" w:hAnsi="宋体" w:eastAsia="宋体" w:cs="宋体"/>
          <w:snapToGrid/>
          <w:kern w:val="2"/>
          <w:lang w:val="en-US" w:eastAsia="zh-CN"/>
        </w:rPr>
        <w:t>4</w:t>
      </w:r>
      <w:r>
        <w:rPr>
          <w:rFonts w:hint="eastAsia" w:ascii="宋体" w:hAnsi="宋体" w:eastAsia="宋体" w:cs="宋体"/>
          <w:snapToGrid/>
          <w:kern w:val="2"/>
          <w:lang w:eastAsia="zh-CN"/>
        </w:rPr>
        <w:t>)任务而研究制定。</w:t>
      </w:r>
    </w:p>
    <w:p>
      <w:pPr>
        <w:numPr>
          <w:ilvl w:val="0"/>
          <w:numId w:val="2"/>
        </w:numPr>
        <w:spacing w:beforeLines="50" w:afterLines="50"/>
        <w:ind w:left="425" w:right="108" w:hanging="425"/>
        <w:jc w:val="both"/>
        <w:rPr>
          <w:rFonts w:ascii="黑体" w:hAnsi="黑体" w:eastAsia="黑体" w:cs="黑体"/>
          <w:b/>
          <w:bCs/>
          <w:snapToGrid/>
          <w:color w:val="auto"/>
          <w:szCs w:val="20"/>
          <w:lang w:eastAsia="zh-CN"/>
        </w:rPr>
      </w:pPr>
      <w:r>
        <w:rPr>
          <w:rFonts w:hint="eastAsia" w:ascii="黑体" w:hAnsi="黑体" w:eastAsia="黑体" w:cs="黑体"/>
          <w:b/>
          <w:bCs/>
          <w:snapToGrid/>
          <w:color w:val="auto"/>
          <w:szCs w:val="20"/>
          <w:lang w:eastAsia="zh-CN"/>
        </w:rPr>
        <w:t>起草单位及起草人</w:t>
      </w:r>
    </w:p>
    <w:p>
      <w:pPr>
        <w:widowControl w:val="0"/>
        <w:kinsoku/>
        <w:autoSpaceDE/>
        <w:autoSpaceDN/>
        <w:adjustRightInd/>
        <w:snapToGrid/>
        <w:ind w:firstLine="420" w:firstLineChars="200"/>
        <w:jc w:val="both"/>
        <w:textAlignment w:val="auto"/>
        <w:rPr>
          <w:rFonts w:hint="eastAsia" w:ascii="宋体" w:hAnsi="宋体" w:eastAsia="宋体" w:cs="宋体"/>
          <w:snapToGrid/>
          <w:kern w:val="2"/>
          <w:lang w:eastAsia="zh-CN"/>
        </w:rPr>
      </w:pPr>
      <w:r>
        <w:rPr>
          <w:rFonts w:hint="eastAsia" w:ascii="宋体" w:hAnsi="宋体" w:eastAsia="宋体" w:cs="宋体"/>
          <w:snapToGrid/>
          <w:kern w:val="2"/>
          <w:lang w:eastAsia="zh-CN"/>
        </w:rPr>
        <w:t>项目负责单位：</w:t>
      </w:r>
      <w:r>
        <w:rPr>
          <w:rFonts w:hint="eastAsia" w:ascii="宋体" w:hAnsi="宋体" w:eastAsia="宋体" w:cs="宋体"/>
          <w:snapToGrid/>
          <w:kern w:val="2"/>
          <w:lang w:val="en-US" w:eastAsia="zh-CN"/>
        </w:rPr>
        <w:t>深圳检疫处理有限公司</w:t>
      </w:r>
      <w:r>
        <w:rPr>
          <w:rFonts w:hint="eastAsia" w:ascii="宋体" w:hAnsi="宋体" w:eastAsia="宋体" w:cs="宋体"/>
          <w:snapToGrid/>
          <w:kern w:val="2"/>
          <w:lang w:eastAsia="zh-CN"/>
        </w:rPr>
        <w:t>。</w:t>
      </w:r>
    </w:p>
    <w:p>
      <w:pPr>
        <w:widowControl w:val="0"/>
        <w:kinsoku/>
        <w:autoSpaceDE/>
        <w:autoSpaceDN/>
        <w:adjustRightInd/>
        <w:snapToGrid/>
        <w:ind w:firstLine="420" w:firstLineChars="200"/>
        <w:jc w:val="both"/>
        <w:textAlignment w:val="auto"/>
        <w:rPr>
          <w:rFonts w:hint="eastAsia" w:ascii="宋体" w:hAnsi="宋体" w:eastAsia="宋体" w:cs="宋体"/>
          <w:snapToGrid/>
          <w:kern w:val="2"/>
          <w:lang w:val="en-US" w:eastAsia="zh-CN"/>
        </w:rPr>
      </w:pPr>
      <w:r>
        <w:rPr>
          <w:rFonts w:hint="eastAsia" w:ascii="宋体" w:hAnsi="宋体" w:eastAsia="宋体" w:cs="宋体"/>
          <w:snapToGrid/>
          <w:kern w:val="2"/>
          <w:lang w:eastAsia="zh-CN"/>
        </w:rPr>
        <w:t>项目参加单位：</w:t>
      </w:r>
      <w:r>
        <w:rPr>
          <w:rFonts w:hint="eastAsia" w:ascii="宋体" w:hAnsi="宋体" w:eastAsia="宋体" w:cs="宋体"/>
          <w:snapToGrid/>
          <w:kern w:val="2"/>
          <w:lang w:val="en-US" w:eastAsia="zh-CN"/>
        </w:rPr>
        <w:t>深圳检疫处理有限公司、中国检验认证集团深圳有限公司。</w:t>
      </w:r>
    </w:p>
    <w:p>
      <w:pPr>
        <w:widowControl w:val="0"/>
        <w:kinsoku/>
        <w:autoSpaceDE/>
        <w:autoSpaceDN/>
        <w:adjustRightInd/>
        <w:snapToGrid/>
        <w:ind w:firstLine="420" w:firstLineChars="200"/>
        <w:jc w:val="both"/>
        <w:textAlignment w:val="auto"/>
        <w:rPr>
          <w:rFonts w:hint="eastAsia" w:ascii="宋体" w:hAnsi="宋体" w:eastAsia="宋体" w:cs="宋体"/>
          <w:snapToGrid/>
          <w:kern w:val="2"/>
          <w:lang w:val="en-US" w:eastAsia="zh-CN"/>
        </w:rPr>
      </w:pPr>
      <w:r>
        <w:rPr>
          <w:rFonts w:hint="eastAsia" w:ascii="宋体" w:hAnsi="宋体" w:eastAsia="宋体" w:cs="宋体"/>
          <w:snapToGrid/>
          <w:kern w:val="2"/>
          <w:lang w:val="en-US" w:eastAsia="zh-CN"/>
        </w:rPr>
        <w:t>起草人：林宛玟、何晨光、周连志、王燕、曹逸霞、刘长峰、贺米、陈明谦、金鹏、刘刚、佘笑兰、丁雨甜、刘辉。</w:t>
      </w:r>
    </w:p>
    <w:p>
      <w:pPr>
        <w:numPr>
          <w:ilvl w:val="0"/>
          <w:numId w:val="2"/>
        </w:numPr>
        <w:spacing w:beforeLines="50" w:afterLines="50"/>
        <w:ind w:left="425" w:right="108" w:hanging="425"/>
        <w:jc w:val="both"/>
        <w:rPr>
          <w:rFonts w:ascii="黑体" w:hAnsi="黑体" w:eastAsia="黑体" w:cs="黑体"/>
          <w:b/>
          <w:bCs/>
          <w:snapToGrid/>
          <w:color w:val="auto"/>
          <w:szCs w:val="20"/>
          <w:lang w:eastAsia="zh-CN"/>
        </w:rPr>
      </w:pPr>
      <w:r>
        <w:rPr>
          <w:rFonts w:hint="eastAsia" w:ascii="黑体" w:hAnsi="黑体" w:eastAsia="黑体" w:cs="黑体"/>
          <w:b/>
          <w:bCs/>
          <w:snapToGrid/>
          <w:color w:val="auto"/>
          <w:szCs w:val="20"/>
          <w:lang w:eastAsia="zh-CN"/>
        </w:rPr>
        <w:t>起草</w:t>
      </w:r>
      <w:r>
        <w:rPr>
          <w:rFonts w:hint="eastAsia" w:ascii="黑体" w:hAnsi="黑体" w:eastAsia="黑体" w:cs="黑体"/>
          <w:b/>
          <w:bCs/>
          <w:snapToGrid/>
          <w:color w:val="auto"/>
          <w:szCs w:val="20"/>
          <w:lang w:val="en-US" w:eastAsia="zh-CN"/>
        </w:rPr>
        <w:t>过程</w:t>
      </w:r>
    </w:p>
    <w:p>
      <w:pPr>
        <w:widowControl w:val="0"/>
        <w:numPr>
          <w:ilvl w:val="0"/>
          <w:numId w:val="3"/>
        </w:numPr>
        <w:kinsoku/>
        <w:autoSpaceDE/>
        <w:autoSpaceDN/>
        <w:adjustRightInd/>
        <w:snapToGrid/>
        <w:ind w:left="425" w:leftChars="0" w:hanging="425" w:firstLineChars="0"/>
        <w:jc w:val="both"/>
        <w:textAlignment w:val="auto"/>
        <w:rPr>
          <w:rFonts w:hint="eastAsia" w:ascii="宋体" w:hAnsi="宋体" w:eastAsia="宋体" w:cs="宋体"/>
          <w:snapToGrid/>
          <w:kern w:val="2"/>
          <w:lang w:val="en-US" w:eastAsia="zh-CN"/>
        </w:rPr>
      </w:pPr>
      <w:r>
        <w:rPr>
          <w:rFonts w:hint="eastAsia" w:ascii="宋体" w:hAnsi="宋体" w:eastAsia="宋体" w:cs="宋体"/>
          <w:snapToGrid/>
          <w:kern w:val="2"/>
          <w:lang w:val="en-US" w:eastAsia="zh-CN"/>
        </w:rPr>
        <w:t>2024年3月，组建工作组，系统归纳并整理中澳两国关于集装箱、帐幕及熏蒸设施内茶翅蝽熏蒸的标准规范与合规性要求。通过详尽的对比分析，识别并总结各项技术指标中的最优或领先要求。</w:t>
      </w:r>
    </w:p>
    <w:p>
      <w:pPr>
        <w:widowControl w:val="0"/>
        <w:numPr>
          <w:ilvl w:val="0"/>
          <w:numId w:val="3"/>
        </w:numPr>
        <w:kinsoku/>
        <w:autoSpaceDE/>
        <w:autoSpaceDN/>
        <w:adjustRightInd/>
        <w:snapToGrid/>
        <w:ind w:left="425" w:leftChars="0" w:hanging="425" w:firstLineChars="0"/>
        <w:jc w:val="both"/>
        <w:textAlignment w:val="auto"/>
        <w:rPr>
          <w:rFonts w:hint="default" w:ascii="宋体" w:hAnsi="宋体" w:eastAsia="宋体" w:cs="宋体"/>
          <w:snapToGrid/>
          <w:kern w:val="2"/>
          <w:lang w:val="en-US" w:eastAsia="zh-CN"/>
        </w:rPr>
      </w:pPr>
      <w:r>
        <w:rPr>
          <w:rFonts w:hint="eastAsia" w:ascii="宋体" w:hAnsi="宋体" w:eastAsia="宋体" w:cs="宋体"/>
          <w:snapToGrid/>
          <w:kern w:val="2"/>
          <w:lang w:val="en-US" w:eastAsia="zh-CN"/>
        </w:rPr>
        <w:t>2024年4月，</w:t>
      </w:r>
      <w:r>
        <w:rPr>
          <w:rFonts w:hint="eastAsia" w:ascii="宋体" w:hAnsi="宋体" w:eastAsia="宋体" w:cs="宋体"/>
          <w:snapToGrid/>
          <w:kern w:val="2"/>
          <w:lang w:val="en-US" w:eastAsia="zh-CN"/>
        </w:rPr>
        <w:t>工作组就标准内容及集装箱、帐幕、熏蒸库的茶翅蝽熏蒸技术指标进行研讨确认。</w:t>
      </w:r>
    </w:p>
    <w:p>
      <w:pPr>
        <w:widowControl w:val="0"/>
        <w:numPr>
          <w:ilvl w:val="0"/>
          <w:numId w:val="3"/>
        </w:numPr>
        <w:kinsoku/>
        <w:autoSpaceDE/>
        <w:autoSpaceDN/>
        <w:adjustRightInd/>
        <w:snapToGrid/>
        <w:ind w:left="425" w:leftChars="0" w:hanging="425" w:firstLineChars="0"/>
        <w:jc w:val="both"/>
        <w:textAlignment w:val="auto"/>
        <w:rPr>
          <w:rFonts w:hint="default" w:ascii="宋体" w:hAnsi="宋体" w:eastAsia="宋体" w:cs="宋体"/>
          <w:snapToGrid/>
          <w:kern w:val="2"/>
          <w:lang w:val="en-US" w:eastAsia="zh-CN"/>
        </w:rPr>
      </w:pPr>
      <w:r>
        <w:rPr>
          <w:rFonts w:hint="eastAsia" w:ascii="宋体" w:hAnsi="宋体" w:eastAsia="宋体" w:cs="宋体"/>
          <w:snapToGrid/>
          <w:kern w:val="2"/>
          <w:lang w:val="en-US" w:eastAsia="zh-CN"/>
        </w:rPr>
        <w:t>2024年5月，根据前期研究成果与研讨结论，编制</w:t>
      </w:r>
      <w:r>
        <w:rPr>
          <w:rFonts w:hint="eastAsia" w:ascii="宋体" w:hAnsi="宋体" w:eastAsia="宋体" w:cs="宋体"/>
          <w:snapToGrid/>
          <w:kern w:val="2"/>
          <w:lang w:eastAsia="zh-CN"/>
        </w:rPr>
        <w:t>《茶翅蝽溴甲烷熏蒸操作规程》</w:t>
      </w:r>
      <w:r>
        <w:rPr>
          <w:rFonts w:hint="eastAsia" w:ascii="宋体" w:hAnsi="宋体" w:eastAsia="宋体" w:cs="宋体"/>
          <w:snapToGrid/>
          <w:kern w:val="2"/>
          <w:lang w:val="en-US" w:eastAsia="zh-CN"/>
        </w:rPr>
        <w:t>标准草案初稿。</w:t>
      </w:r>
    </w:p>
    <w:p>
      <w:pPr>
        <w:widowControl w:val="0"/>
        <w:numPr>
          <w:ilvl w:val="0"/>
          <w:numId w:val="3"/>
        </w:numPr>
        <w:kinsoku/>
        <w:autoSpaceDE/>
        <w:autoSpaceDN/>
        <w:adjustRightInd/>
        <w:snapToGrid/>
        <w:ind w:left="425" w:leftChars="0" w:hanging="425" w:firstLineChars="0"/>
        <w:jc w:val="both"/>
        <w:textAlignment w:val="auto"/>
        <w:rPr>
          <w:rFonts w:hint="default" w:ascii="宋体" w:hAnsi="宋体" w:eastAsia="宋体" w:cs="宋体"/>
          <w:snapToGrid/>
          <w:kern w:val="2"/>
          <w:lang w:val="en-US" w:eastAsia="zh-CN"/>
        </w:rPr>
      </w:pPr>
      <w:r>
        <w:rPr>
          <w:rFonts w:hint="eastAsia" w:ascii="宋体" w:hAnsi="宋体" w:eastAsia="宋体" w:cs="宋体"/>
          <w:snapToGrid/>
          <w:kern w:val="2"/>
          <w:lang w:val="en-US" w:eastAsia="zh-CN"/>
        </w:rPr>
        <w:t>2024年7月，进行现场验证试验，同时接受澳大利亚农业、渔业和林业部现场技术考察。</w:t>
      </w:r>
    </w:p>
    <w:p>
      <w:pPr>
        <w:widowControl w:val="0"/>
        <w:numPr>
          <w:ilvl w:val="0"/>
          <w:numId w:val="3"/>
        </w:numPr>
        <w:kinsoku/>
        <w:autoSpaceDE/>
        <w:autoSpaceDN/>
        <w:adjustRightInd/>
        <w:snapToGrid/>
        <w:ind w:left="425" w:leftChars="0" w:hanging="425" w:firstLineChars="0"/>
        <w:jc w:val="both"/>
        <w:textAlignment w:val="auto"/>
        <w:rPr>
          <w:rFonts w:hint="default" w:ascii="宋体" w:hAnsi="宋体" w:eastAsia="宋体" w:cs="宋体"/>
          <w:snapToGrid/>
          <w:kern w:val="2"/>
          <w:lang w:val="en-US" w:eastAsia="zh-CN"/>
        </w:rPr>
      </w:pPr>
      <w:r>
        <w:rPr>
          <w:rFonts w:hint="eastAsia" w:ascii="宋体" w:hAnsi="宋体" w:eastAsia="宋体" w:cs="宋体"/>
          <w:snapToGrid/>
          <w:kern w:val="2"/>
          <w:lang w:val="en-US" w:eastAsia="zh-CN"/>
        </w:rPr>
        <w:t>2024年11月，形成了标准征求意见稿及其编制说明等相关附件，报中国出入境检验检疫协会综合质量服务标准化技术委员会秘书处。</w:t>
      </w:r>
    </w:p>
    <w:p>
      <w:pPr>
        <w:pStyle w:val="10"/>
        <w:numPr>
          <w:ilvl w:val="0"/>
          <w:numId w:val="1"/>
        </w:numPr>
        <w:snapToGrid w:val="0"/>
        <w:spacing w:before="312" w:after="312"/>
        <w:ind w:firstLine="0"/>
        <w:outlineLvl w:val="0"/>
        <w:rPr>
          <w:rFonts w:ascii="Times New Roman"/>
          <w:b/>
          <w:bCs/>
        </w:rPr>
      </w:pPr>
      <w:r>
        <w:rPr>
          <w:rFonts w:hint="eastAsia" w:ascii="Times New Roman"/>
          <w:b/>
          <w:bCs/>
        </w:rPr>
        <w:t>标准编制原则和标准核心技术内容</w:t>
      </w:r>
    </w:p>
    <w:p>
      <w:pPr>
        <w:numPr>
          <w:ilvl w:val="0"/>
          <w:numId w:val="4"/>
        </w:numPr>
        <w:spacing w:beforeLines="50" w:afterLines="50"/>
        <w:ind w:left="425" w:right="108" w:hanging="425"/>
        <w:jc w:val="both"/>
        <w:rPr>
          <w:rFonts w:ascii="黑体" w:hAnsi="黑体" w:eastAsia="黑体" w:cs="黑体"/>
          <w:b/>
          <w:bCs/>
          <w:snapToGrid/>
          <w:color w:val="auto"/>
          <w:szCs w:val="20"/>
          <w:lang w:eastAsia="zh-CN"/>
        </w:rPr>
      </w:pPr>
      <w:r>
        <w:rPr>
          <w:rFonts w:hint="eastAsia" w:ascii="黑体" w:hAnsi="黑体" w:eastAsia="黑体" w:cs="黑体"/>
          <w:b/>
          <w:bCs/>
          <w:snapToGrid/>
          <w:color w:val="auto"/>
          <w:szCs w:val="20"/>
          <w:lang w:eastAsia="zh-CN"/>
        </w:rPr>
        <w:t>标准编制原则</w:t>
      </w:r>
    </w:p>
    <w:p>
      <w:pPr>
        <w:widowControl w:val="0"/>
        <w:kinsoku/>
        <w:autoSpaceDE/>
        <w:autoSpaceDN/>
        <w:adjustRightInd/>
        <w:snapToGrid/>
        <w:ind w:firstLine="420" w:firstLineChars="200"/>
        <w:jc w:val="both"/>
        <w:textAlignment w:val="auto"/>
        <w:rPr>
          <w:rFonts w:hint="eastAsia" w:ascii="宋体" w:hAnsi="宋体" w:eastAsia="宋体" w:cs="宋体"/>
          <w:snapToGrid/>
          <w:kern w:val="2"/>
          <w:lang w:eastAsia="zh-CN"/>
        </w:rPr>
      </w:pPr>
      <w:r>
        <w:rPr>
          <w:rFonts w:hint="eastAsia" w:ascii="宋体" w:hAnsi="宋体" w:eastAsia="宋体" w:cs="宋体"/>
          <w:snapToGrid/>
          <w:kern w:val="2"/>
          <w:lang w:eastAsia="zh-CN"/>
        </w:rPr>
        <w:t>《茶翅蝽溴甲烷熏蒸操作规程》严格按照相关标准化工作导则进行编写和表述，确保内容的“统一性、协调性、适用性、一致性、规范性”。在编制过程中，</w:t>
      </w:r>
      <w:r>
        <w:rPr>
          <w:rFonts w:hint="eastAsia" w:ascii="宋体" w:hAnsi="宋体" w:eastAsia="宋体" w:cs="宋体"/>
          <w:snapToGrid/>
          <w:kern w:val="2"/>
          <w:lang w:val="en-US" w:eastAsia="zh-CN"/>
        </w:rPr>
        <w:t>严格</w:t>
      </w:r>
      <w:r>
        <w:rPr>
          <w:rFonts w:hint="eastAsia" w:ascii="宋体" w:hAnsi="宋体" w:eastAsia="宋体" w:cs="宋体"/>
          <w:snapToGrid/>
          <w:kern w:val="2"/>
          <w:lang w:eastAsia="zh-CN"/>
        </w:rPr>
        <w:t>遵循GB/T 1.1—2020《标准化工作导则 第1部分：标准化文件的结构和起草规则》的要求，力求使规程在逻辑结构、术语使用、数据表达等方面均达到科学严谨的标准，确保规程的准确性和可操作性。</w:t>
      </w:r>
    </w:p>
    <w:p>
      <w:pPr>
        <w:numPr>
          <w:ilvl w:val="0"/>
          <w:numId w:val="4"/>
        </w:numPr>
        <w:spacing w:beforeLines="50" w:afterLines="50"/>
        <w:ind w:left="425" w:right="108" w:hanging="425"/>
        <w:jc w:val="both"/>
        <w:rPr>
          <w:rFonts w:ascii="黑体" w:hAnsi="黑体" w:eastAsia="黑体" w:cs="黑体"/>
          <w:b/>
          <w:bCs/>
          <w:snapToGrid/>
          <w:color w:val="auto"/>
          <w:szCs w:val="20"/>
          <w:lang w:eastAsia="zh-CN"/>
        </w:rPr>
      </w:pPr>
      <w:r>
        <w:rPr>
          <w:rFonts w:hint="eastAsia" w:ascii="黑体" w:hAnsi="黑体" w:eastAsia="黑体" w:cs="黑体"/>
          <w:b/>
          <w:bCs/>
          <w:snapToGrid/>
          <w:color w:val="auto"/>
          <w:szCs w:val="20"/>
          <w:lang w:eastAsia="zh-CN"/>
        </w:rPr>
        <w:t>标准核心技术内容</w:t>
      </w:r>
    </w:p>
    <w:p>
      <w:pPr>
        <w:widowControl w:val="0"/>
        <w:kinsoku/>
        <w:autoSpaceDE/>
        <w:autoSpaceDN/>
        <w:adjustRightInd/>
        <w:snapToGrid/>
        <w:ind w:firstLine="420" w:firstLineChars="200"/>
        <w:jc w:val="both"/>
        <w:textAlignment w:val="auto"/>
        <w:rPr>
          <w:rFonts w:ascii="宋体" w:hAnsi="宋体" w:eastAsia="宋体" w:cs="宋体"/>
          <w:snapToGrid/>
          <w:kern w:val="2"/>
          <w:lang w:eastAsia="zh-CN"/>
        </w:rPr>
      </w:pPr>
      <w:r>
        <w:rPr>
          <w:rFonts w:hint="eastAsia" w:ascii="宋体" w:hAnsi="宋体" w:eastAsia="宋体" w:cs="宋体"/>
          <w:snapToGrid/>
          <w:kern w:val="2"/>
          <w:lang w:eastAsia="zh-CN"/>
        </w:rPr>
        <w:t>本文件适用于可用溴甲烷熏蒸的，受茶翅蝽季节性检疫措施限制的货物的集装箱、帐幕及熏蒸库熏蒸处理。</w:t>
      </w:r>
    </w:p>
    <w:p>
      <w:pPr>
        <w:widowControl w:val="0"/>
        <w:kinsoku/>
        <w:autoSpaceDE/>
        <w:autoSpaceDN/>
        <w:adjustRightInd/>
        <w:snapToGrid/>
        <w:ind w:firstLine="420" w:firstLineChars="200"/>
        <w:jc w:val="both"/>
        <w:textAlignment w:val="auto"/>
        <w:rPr>
          <w:rFonts w:hint="eastAsia" w:ascii="宋体" w:hAnsi="宋体" w:eastAsia="宋体" w:cs="宋体"/>
          <w:snapToGrid/>
          <w:kern w:val="2"/>
          <w:lang w:val="en-US" w:eastAsia="zh-CN"/>
        </w:rPr>
      </w:pPr>
      <w:r>
        <w:rPr>
          <w:rFonts w:ascii="宋体" w:hAnsi="宋体" w:eastAsia="宋体" w:cs="宋体"/>
          <w:snapToGrid/>
          <w:kern w:val="2"/>
          <w:lang w:eastAsia="zh-CN"/>
        </w:rPr>
        <w:t>本文件规定了</w:t>
      </w:r>
      <w:r>
        <w:rPr>
          <w:rFonts w:hint="eastAsia" w:ascii="宋体" w:hAnsi="宋体" w:eastAsia="宋体" w:cs="宋体"/>
          <w:snapToGrid/>
          <w:kern w:val="2"/>
          <w:lang w:val="en-US" w:eastAsia="zh-CN"/>
        </w:rPr>
        <w:t>茶翅蝽溴甲烷熏蒸的基本要求和技术要求。</w:t>
      </w:r>
    </w:p>
    <w:p>
      <w:pPr>
        <w:widowControl w:val="0"/>
        <w:numPr>
          <w:ilvl w:val="0"/>
          <w:numId w:val="5"/>
        </w:numPr>
        <w:kinsoku/>
        <w:autoSpaceDE/>
        <w:autoSpaceDN/>
        <w:adjustRightInd/>
        <w:snapToGrid/>
        <w:ind w:left="425" w:leftChars="0" w:hanging="425" w:firstLineChars="0"/>
        <w:jc w:val="both"/>
        <w:textAlignment w:val="auto"/>
        <w:rPr>
          <w:rFonts w:hint="default" w:ascii="宋体" w:hAnsi="宋体" w:eastAsia="宋体" w:cs="宋体"/>
          <w:snapToGrid/>
          <w:kern w:val="2"/>
          <w:lang w:val="en-US" w:eastAsia="zh-CN"/>
        </w:rPr>
      </w:pPr>
      <w:r>
        <w:rPr>
          <w:rFonts w:hint="eastAsia" w:ascii="宋体" w:hAnsi="宋体" w:eastAsia="宋体" w:cs="宋体"/>
          <w:snapToGrid/>
          <w:kern w:val="2"/>
          <w:lang w:val="en-US" w:eastAsia="zh-CN"/>
        </w:rPr>
        <w:t>基本要求：明确了货物的适用性、货物的包装或覆盖方式、熏蒸场地、温度、自由空间、安全防范、以及从业单位和人员的资质要求。</w:t>
      </w:r>
    </w:p>
    <w:p>
      <w:pPr>
        <w:widowControl w:val="0"/>
        <w:numPr>
          <w:ilvl w:val="0"/>
          <w:numId w:val="5"/>
        </w:numPr>
        <w:kinsoku/>
        <w:autoSpaceDE/>
        <w:autoSpaceDN/>
        <w:adjustRightInd/>
        <w:snapToGrid/>
        <w:ind w:left="425" w:leftChars="0" w:hanging="425" w:firstLineChars="0"/>
        <w:jc w:val="both"/>
        <w:textAlignment w:val="auto"/>
        <w:rPr>
          <w:rFonts w:ascii="宋体" w:hAnsi="宋体" w:eastAsia="宋体" w:cs="宋体"/>
          <w:snapToGrid/>
          <w:kern w:val="2"/>
          <w:lang w:eastAsia="zh-CN"/>
        </w:rPr>
      </w:pPr>
      <w:r>
        <w:rPr>
          <w:rFonts w:hint="eastAsia" w:ascii="宋体" w:hAnsi="宋体" w:eastAsia="宋体" w:cs="宋体"/>
          <w:snapToGrid/>
          <w:kern w:val="2"/>
          <w:lang w:val="en-US" w:eastAsia="zh-CN"/>
        </w:rPr>
        <w:t>技术要求：规定了熏蒸施药前的各项准备工作，包括人员安排、药剂、仪器和用具准备、警戒区</w:t>
      </w:r>
      <w:r>
        <w:rPr>
          <w:rFonts w:ascii="宋体" w:hAnsi="宋体" w:eastAsia="宋体" w:cs="宋体"/>
          <w:sz w:val="24"/>
          <w:szCs w:val="24"/>
        </w:rPr>
        <w:t>的设立</w:t>
      </w:r>
      <w:r>
        <w:rPr>
          <w:rFonts w:hint="eastAsia" w:ascii="宋体" w:hAnsi="宋体" w:eastAsia="宋体" w:cs="宋体"/>
          <w:snapToGrid/>
          <w:kern w:val="2"/>
          <w:lang w:val="en-US" w:eastAsia="zh-CN"/>
        </w:rPr>
        <w:t>、浓度检测管和施药管的安装、电风扇</w:t>
      </w:r>
      <w:r>
        <w:rPr>
          <w:rFonts w:ascii="宋体" w:hAnsi="宋体" w:eastAsia="宋体" w:cs="宋体"/>
          <w:sz w:val="24"/>
          <w:szCs w:val="24"/>
        </w:rPr>
        <w:t>的配置</w:t>
      </w:r>
      <w:r>
        <w:rPr>
          <w:rFonts w:hint="eastAsia" w:ascii="宋体" w:hAnsi="宋体" w:eastAsia="宋体" w:cs="宋体"/>
          <w:snapToGrid/>
          <w:kern w:val="2"/>
          <w:lang w:val="en-US" w:eastAsia="zh-CN"/>
        </w:rPr>
        <w:t>、密封措施的实施、施药剂量的确认和施药量的计算等；同时，也规定了熏蒸施药过程中的相关要求，如开启风扇的时间、供药系统的测漏检查、施药操作、环境测漏、熏蒸正式开始时间的确认、熏蒸期间的浓度检测、终止熏蒸的条件、以及通风散气的步骤等；此外，还规定了熏蒸记录的相关要求。</w:t>
      </w:r>
    </w:p>
    <w:p>
      <w:pPr>
        <w:numPr>
          <w:ilvl w:val="0"/>
          <w:numId w:val="4"/>
        </w:numPr>
        <w:spacing w:beforeLines="50" w:afterLines="50"/>
        <w:ind w:left="425" w:right="108" w:hanging="425"/>
        <w:jc w:val="both"/>
        <w:rPr>
          <w:rFonts w:ascii="黑体" w:hAnsi="黑体" w:eastAsia="黑体" w:cs="黑体"/>
          <w:b/>
          <w:bCs/>
          <w:snapToGrid/>
          <w:color w:val="auto"/>
          <w:szCs w:val="20"/>
          <w:lang w:eastAsia="zh-CN"/>
        </w:rPr>
      </w:pPr>
      <w:r>
        <w:rPr>
          <w:rFonts w:hint="eastAsia" w:ascii="黑体" w:hAnsi="黑体" w:eastAsia="黑体" w:cs="黑体"/>
          <w:b/>
          <w:bCs/>
          <w:snapToGrid/>
          <w:color w:val="auto"/>
          <w:szCs w:val="20"/>
          <w:lang w:eastAsia="zh-CN"/>
        </w:rPr>
        <w:t xml:space="preserve"> 标准的新颖性与必要性</w:t>
      </w:r>
    </w:p>
    <w:p>
      <w:pPr>
        <w:widowControl w:val="0"/>
        <w:kinsoku/>
        <w:autoSpaceDE/>
        <w:autoSpaceDN/>
        <w:adjustRightInd/>
        <w:snapToGrid/>
        <w:ind w:firstLine="420" w:firstLineChars="200"/>
        <w:jc w:val="both"/>
        <w:textAlignment w:val="auto"/>
        <w:rPr>
          <w:rFonts w:hint="eastAsia" w:ascii="宋体" w:hAnsi="宋体" w:eastAsia="宋体" w:cs="宋体"/>
          <w:snapToGrid/>
          <w:kern w:val="2"/>
          <w:lang w:eastAsia="zh-CN"/>
        </w:rPr>
      </w:pPr>
      <w:r>
        <w:rPr>
          <w:rFonts w:hint="eastAsia" w:ascii="宋体" w:hAnsi="宋体" w:eastAsia="宋体" w:cs="宋体"/>
          <w:snapToGrid/>
          <w:kern w:val="2"/>
          <w:lang w:eastAsia="zh-CN"/>
        </w:rPr>
        <w:t>目前，国内暂无专门针对茶翅蝽</w:t>
      </w:r>
      <w:r>
        <w:rPr>
          <w:rFonts w:hint="eastAsia" w:ascii="宋体" w:hAnsi="宋体" w:eastAsia="宋体" w:cs="宋体"/>
          <w:snapToGrid/>
          <w:kern w:val="2"/>
          <w:lang w:val="en-US" w:eastAsia="zh-CN"/>
        </w:rPr>
        <w:t>的</w:t>
      </w:r>
      <w:r>
        <w:rPr>
          <w:rFonts w:hint="eastAsia" w:ascii="宋体" w:hAnsi="宋体" w:eastAsia="宋体" w:cs="宋体"/>
          <w:snapToGrid/>
          <w:kern w:val="2"/>
          <w:lang w:eastAsia="zh-CN"/>
        </w:rPr>
        <w:t>溴甲烷熏蒸标准。尽管国内存在有害生物通用性的熏蒸处理操作规程，如SN/T 1123-2010《帐幕熏蒸处理操作规程》、GB/T 31752-2015《溴甲烷检疫熏蒸库技术规范》和GB/T 36854-2018《集装箱熏蒸操作规程》，但以上操作规程与澳大利亚和新西兰的茶翅蝽溴甲烷熏蒸要求存在较大的合规性差异。</w:t>
      </w:r>
    </w:p>
    <w:p>
      <w:pPr>
        <w:widowControl w:val="0"/>
        <w:kinsoku/>
        <w:autoSpaceDE/>
        <w:autoSpaceDN/>
        <w:adjustRightInd/>
        <w:snapToGrid/>
        <w:ind w:firstLine="420" w:firstLineChars="200"/>
        <w:jc w:val="both"/>
        <w:textAlignment w:val="auto"/>
        <w:rPr>
          <w:rFonts w:hint="eastAsia" w:ascii="宋体" w:hAnsi="宋体" w:eastAsia="宋体" w:cs="宋体"/>
          <w:snapToGrid/>
          <w:kern w:val="2"/>
          <w:lang w:eastAsia="zh-CN"/>
        </w:rPr>
      </w:pPr>
      <w:r>
        <w:rPr>
          <w:rFonts w:hint="eastAsia" w:ascii="宋体" w:hAnsi="宋体" w:eastAsia="宋体" w:cs="宋体"/>
          <w:snapToGrid/>
          <w:kern w:val="2"/>
          <w:lang w:val="en-US" w:eastAsia="zh-CN"/>
        </w:rPr>
        <w:t>这些</w:t>
      </w:r>
      <w:r>
        <w:rPr>
          <w:rFonts w:hint="eastAsia" w:ascii="宋体" w:hAnsi="宋体" w:eastAsia="宋体" w:cs="宋体"/>
          <w:snapToGrid/>
          <w:kern w:val="2"/>
          <w:lang w:eastAsia="zh-CN"/>
        </w:rPr>
        <w:t>差异主要在货物的包装或覆盖方式、温度、浓度检测管安装位置、熏蒸剂使用、熏蒸剂浓度监测频次、熏蒸开始时间、熏蒸补救措施等方面。以上这些操作差异会直接导致中国出口至澳大利亚和新西兰的货物在熏蒸处理过程中不符合澳新两国的标准，从而影响货物的通关和贸易的顺利进行。</w:t>
      </w:r>
    </w:p>
    <w:p>
      <w:pPr>
        <w:widowControl w:val="0"/>
        <w:kinsoku/>
        <w:autoSpaceDE/>
        <w:autoSpaceDN/>
        <w:adjustRightInd/>
        <w:snapToGrid/>
        <w:ind w:firstLine="420" w:firstLineChars="200"/>
        <w:jc w:val="both"/>
        <w:textAlignment w:val="auto"/>
        <w:rPr>
          <w:rFonts w:hint="eastAsia" w:ascii="宋体" w:hAnsi="宋体" w:eastAsia="宋体" w:cs="宋体"/>
          <w:snapToGrid/>
          <w:kern w:val="2"/>
          <w:lang w:eastAsia="zh-CN"/>
        </w:rPr>
      </w:pPr>
      <w:r>
        <w:rPr>
          <w:rFonts w:hint="eastAsia" w:ascii="宋体" w:hAnsi="宋体" w:eastAsia="宋体" w:cs="宋体"/>
          <w:snapToGrid/>
          <w:kern w:val="2"/>
          <w:lang w:eastAsia="zh-CN"/>
        </w:rPr>
        <w:t>鉴于上述情况，本次申请制定的标准旨在填补这一关键领域的标准空白。该标准不仅全面考虑了我国现有的熏蒸处理操作规程，更严格遵循并满足了澳大利亚和新西兰的合规性要求。通过制定并实施这一标准，将确保中国出口的货物在茶翅蝽季节性检疫期间能够接受到符合国际标准的、有效的溴甲烷熏蒸处理，从而保障贸易的顺利进行和货物的市场准入。</w:t>
      </w:r>
    </w:p>
    <w:p>
      <w:pPr>
        <w:pStyle w:val="10"/>
        <w:numPr>
          <w:ilvl w:val="0"/>
          <w:numId w:val="1"/>
        </w:numPr>
        <w:snapToGrid w:val="0"/>
        <w:spacing w:before="312" w:after="312"/>
        <w:ind w:firstLine="0"/>
        <w:outlineLvl w:val="0"/>
        <w:rPr>
          <w:rFonts w:ascii="Times New Roman"/>
          <w:b/>
          <w:bCs/>
        </w:rPr>
      </w:pPr>
      <w:r>
        <w:rPr>
          <w:rFonts w:hint="eastAsia" w:ascii="Times New Roman"/>
          <w:b/>
          <w:bCs/>
        </w:rPr>
        <w:t>如果是修订标准，应增列新旧标准水平的对比</w:t>
      </w:r>
    </w:p>
    <w:p>
      <w:pPr>
        <w:widowControl w:val="0"/>
        <w:kinsoku/>
        <w:autoSpaceDE/>
        <w:autoSpaceDN/>
        <w:adjustRightInd/>
        <w:snapToGrid/>
        <w:ind w:firstLine="420" w:firstLineChars="200"/>
        <w:jc w:val="both"/>
        <w:textAlignment w:val="auto"/>
        <w:rPr>
          <w:rFonts w:ascii="宋体" w:hAnsi="宋体" w:eastAsia="宋体" w:cs="宋体"/>
          <w:snapToGrid/>
          <w:kern w:val="2"/>
          <w:lang w:eastAsia="zh-CN"/>
        </w:rPr>
      </w:pPr>
      <w:r>
        <w:rPr>
          <w:rFonts w:hint="eastAsia" w:ascii="宋体" w:hAnsi="宋体" w:eastAsia="宋体" w:cs="宋体"/>
          <w:snapToGrid/>
          <w:kern w:val="2"/>
          <w:lang w:eastAsia="zh-CN"/>
        </w:rPr>
        <w:t>不是修订标准</w:t>
      </w:r>
    </w:p>
    <w:p>
      <w:pPr>
        <w:pStyle w:val="10"/>
        <w:numPr>
          <w:ilvl w:val="0"/>
          <w:numId w:val="1"/>
        </w:numPr>
        <w:snapToGrid w:val="0"/>
        <w:spacing w:before="312" w:after="312"/>
        <w:ind w:firstLine="0"/>
        <w:outlineLvl w:val="0"/>
        <w:rPr>
          <w:rFonts w:hint="eastAsia" w:ascii="Times New Roman" w:hAnsi="Times New Roman" w:cs="Times New Roman"/>
          <w:b/>
          <w:bCs/>
          <w:lang w:eastAsia="zh-CN"/>
        </w:rPr>
      </w:pPr>
      <w:r>
        <w:rPr>
          <w:rFonts w:hint="eastAsia" w:ascii="Times New Roman" w:hAnsi="Times New Roman" w:cs="Times New Roman"/>
          <w:b/>
          <w:bCs/>
        </w:rPr>
        <w:t>预期的社会经济效益</w:t>
      </w:r>
    </w:p>
    <w:p>
      <w:pPr>
        <w:widowControl w:val="0"/>
        <w:kinsoku/>
        <w:autoSpaceDE/>
        <w:autoSpaceDN/>
        <w:adjustRightInd/>
        <w:snapToGrid/>
        <w:ind w:firstLine="420" w:firstLineChars="200"/>
        <w:jc w:val="both"/>
        <w:textAlignment w:val="auto"/>
        <w:rPr>
          <w:rFonts w:hint="eastAsia" w:ascii="宋体" w:hAnsi="宋体" w:eastAsia="宋体" w:cs="宋体"/>
          <w:snapToGrid/>
          <w:kern w:val="2"/>
          <w:lang w:eastAsia="zh-CN"/>
        </w:rPr>
      </w:pPr>
      <w:r>
        <w:rPr>
          <w:rFonts w:hint="eastAsia" w:ascii="宋体" w:hAnsi="宋体" w:eastAsia="宋体" w:cs="宋体"/>
          <w:snapToGrid/>
          <w:kern w:val="2"/>
          <w:lang w:eastAsia="zh-CN"/>
        </w:rPr>
        <w:t>标准的发布与实施将在茶翅蝽溴甲烷熏蒸领域带来深远的社会经济效益，具体体现在以下两个方面：</w:t>
      </w:r>
    </w:p>
    <w:p>
      <w:pPr>
        <w:widowControl w:val="0"/>
        <w:numPr>
          <w:ilvl w:val="0"/>
          <w:numId w:val="6"/>
        </w:numPr>
        <w:kinsoku/>
        <w:autoSpaceDE/>
        <w:autoSpaceDN/>
        <w:adjustRightInd/>
        <w:snapToGrid/>
        <w:ind w:firstLine="420" w:firstLineChars="200"/>
        <w:jc w:val="both"/>
        <w:textAlignment w:val="auto"/>
        <w:rPr>
          <w:rFonts w:hint="eastAsia" w:ascii="宋体" w:hAnsi="宋体" w:eastAsia="宋体" w:cs="宋体"/>
          <w:snapToGrid/>
          <w:kern w:val="2"/>
          <w:lang w:eastAsia="zh-CN"/>
        </w:rPr>
      </w:pPr>
      <w:r>
        <w:rPr>
          <w:rFonts w:hint="eastAsia" w:ascii="宋体" w:hAnsi="宋体" w:eastAsia="宋体" w:cs="宋体"/>
          <w:snapToGrid/>
          <w:kern w:val="2"/>
          <w:lang w:eastAsia="zh-CN"/>
        </w:rPr>
        <w:t>行业规范统一。新标准的发布将首次为茶翅蝽溴甲烷帐幕、熏蒸库、集装箱熏蒸等场景提供统一的操作规程。这一统一标准将确保各地、各企业在执行熏蒸操作时的一致性和规范性，从而提高整体操作效率，减少因操作差异或不当而导致的处理失败情况，为行业的规范化发展奠定坚实基础。</w:t>
      </w:r>
    </w:p>
    <w:p>
      <w:pPr>
        <w:widowControl w:val="0"/>
        <w:numPr>
          <w:ilvl w:val="0"/>
          <w:numId w:val="6"/>
        </w:numPr>
        <w:kinsoku/>
        <w:autoSpaceDE/>
        <w:autoSpaceDN/>
        <w:adjustRightInd/>
        <w:snapToGrid/>
        <w:ind w:firstLine="420" w:firstLineChars="200"/>
        <w:jc w:val="both"/>
        <w:textAlignment w:val="auto"/>
        <w:rPr>
          <w:rFonts w:hint="eastAsia" w:ascii="宋体" w:hAnsi="宋体" w:eastAsia="宋体" w:cs="宋体"/>
          <w:snapToGrid/>
          <w:kern w:val="2"/>
          <w:lang w:eastAsia="zh-CN"/>
        </w:rPr>
      </w:pPr>
      <w:r>
        <w:rPr>
          <w:rFonts w:hint="eastAsia" w:ascii="宋体" w:hAnsi="宋体" w:eastAsia="宋体" w:cs="宋体"/>
          <w:snapToGrid/>
          <w:kern w:val="2"/>
          <w:lang w:eastAsia="zh-CN"/>
        </w:rPr>
        <w:t>国际贸易便利。该标准的制定与实施将显著提升我国出口货物在国际贸易中涉及茶翅蝽溴甲烷熏蒸的合规性。特别是对于出口至澳大利亚和新西兰等受茶翅蝽季节性检疫措施限制的货物，标准提供了明确的合规处理要求，有助于确保货物顺利通关，避免因检疫问题而引发的贸易障碍。同时，这一标准将降低企业因检疫问题而承担的额外成本和时间成本，为中国出口贸易的持续发展提供有力支持。</w:t>
      </w:r>
    </w:p>
    <w:p>
      <w:pPr>
        <w:pStyle w:val="10"/>
        <w:numPr>
          <w:ilvl w:val="0"/>
          <w:numId w:val="1"/>
        </w:numPr>
        <w:snapToGrid w:val="0"/>
        <w:spacing w:before="312" w:after="312"/>
        <w:ind w:firstLine="0"/>
        <w:outlineLvl w:val="0"/>
        <w:rPr>
          <w:rFonts w:ascii="Times New Roman"/>
          <w:b/>
          <w:bCs/>
        </w:rPr>
      </w:pPr>
      <w:r>
        <w:rPr>
          <w:rFonts w:hint="eastAsia" w:ascii="Times New Roman"/>
          <w:b/>
          <w:bCs/>
        </w:rPr>
        <w:t>是否填补标准空白</w:t>
      </w:r>
    </w:p>
    <w:p>
      <w:pPr>
        <w:widowControl w:val="0"/>
        <w:kinsoku/>
        <w:autoSpaceDE/>
        <w:autoSpaceDN/>
        <w:adjustRightInd/>
        <w:snapToGrid/>
        <w:ind w:firstLine="420" w:firstLineChars="200"/>
        <w:jc w:val="both"/>
        <w:textAlignment w:val="auto"/>
        <w:rPr>
          <w:rFonts w:ascii="宋体" w:hAnsi="宋体" w:eastAsia="宋体" w:cs="宋体"/>
          <w:snapToGrid/>
          <w:kern w:val="2"/>
          <w:lang w:eastAsia="zh-CN"/>
        </w:rPr>
      </w:pPr>
      <w:r>
        <w:rPr>
          <w:rFonts w:hint="eastAsia" w:ascii="宋体" w:hAnsi="宋体" w:eastAsia="宋体" w:cs="宋体"/>
          <w:snapToGrid/>
          <w:kern w:val="2"/>
          <w:lang w:eastAsia="zh-CN"/>
        </w:rPr>
        <w:t>是。</w:t>
      </w:r>
    </w:p>
    <w:p>
      <w:pPr>
        <w:pStyle w:val="10"/>
        <w:numPr>
          <w:ilvl w:val="0"/>
          <w:numId w:val="1"/>
        </w:numPr>
        <w:snapToGrid w:val="0"/>
        <w:spacing w:before="312" w:after="312"/>
        <w:ind w:firstLine="0"/>
        <w:outlineLvl w:val="0"/>
        <w:rPr>
          <w:rFonts w:ascii="Times New Roman"/>
          <w:b/>
          <w:bCs/>
        </w:rPr>
      </w:pPr>
      <w:r>
        <w:rPr>
          <w:rFonts w:hint="eastAsia" w:ascii="Times New Roman"/>
          <w:b/>
          <w:bCs/>
        </w:rPr>
        <w:t>采用国际标准的程度</w:t>
      </w:r>
    </w:p>
    <w:p>
      <w:pPr>
        <w:widowControl w:val="0"/>
        <w:kinsoku/>
        <w:autoSpaceDE/>
        <w:autoSpaceDN/>
        <w:adjustRightInd/>
        <w:snapToGrid/>
        <w:ind w:firstLine="420" w:firstLineChars="200"/>
        <w:jc w:val="both"/>
        <w:textAlignment w:val="auto"/>
        <w:rPr>
          <w:rFonts w:ascii="宋体" w:hAnsi="宋体" w:eastAsia="宋体" w:cs="宋体"/>
          <w:snapToGrid/>
          <w:kern w:val="2"/>
          <w:lang w:eastAsia="zh-CN"/>
        </w:rPr>
      </w:pPr>
      <w:r>
        <w:rPr>
          <w:rFonts w:hint="eastAsia" w:ascii="宋体" w:hAnsi="宋体" w:eastAsia="宋体" w:cs="宋体"/>
          <w:snapToGrid/>
          <w:kern w:val="2"/>
          <w:lang w:val="en-US" w:eastAsia="zh-CN"/>
        </w:rPr>
        <w:t>本标准</w:t>
      </w:r>
      <w:r>
        <w:rPr>
          <w:rFonts w:hint="eastAsia" w:ascii="宋体" w:hAnsi="宋体" w:eastAsia="宋体" w:cs="宋体"/>
          <w:snapToGrid/>
          <w:kern w:val="2"/>
          <w:lang w:eastAsia="zh-CN"/>
        </w:rPr>
        <w:t>参考澳大利亚农业、渔业和林业部</w:t>
      </w:r>
      <w:r>
        <w:rPr>
          <w:rFonts w:hint="eastAsia" w:ascii="宋体" w:hAnsi="宋体" w:eastAsia="宋体" w:cs="宋体"/>
          <w:snapToGrid/>
          <w:kern w:val="2"/>
          <w:lang w:val="en-US" w:eastAsia="zh-CN"/>
        </w:rPr>
        <w:t>发布的</w:t>
      </w:r>
      <w:r>
        <w:rPr>
          <w:rFonts w:hint="eastAsia" w:ascii="宋体" w:hAnsi="宋体" w:eastAsia="宋体" w:cs="宋体"/>
          <w:snapToGrid/>
          <w:kern w:val="2"/>
          <w:lang w:eastAsia="zh-CN"/>
        </w:rPr>
        <w:t>《Methyl bromide fumigation methodology》、《BMSB Methyl Bromide</w:t>
      </w:r>
      <w:r>
        <w:rPr>
          <w:rFonts w:hint="eastAsia" w:ascii="宋体" w:hAnsi="宋体" w:eastAsia="宋体" w:cs="宋体"/>
          <w:snapToGrid/>
          <w:kern w:val="2"/>
          <w:lang w:val="en-US" w:eastAsia="zh-CN"/>
        </w:rPr>
        <w:t xml:space="preserve"> </w:t>
      </w:r>
      <w:r>
        <w:rPr>
          <w:rFonts w:hint="eastAsia" w:ascii="宋体" w:hAnsi="宋体" w:eastAsia="宋体" w:cs="宋体"/>
          <w:snapToGrid/>
          <w:kern w:val="2"/>
          <w:lang w:eastAsia="zh-CN"/>
        </w:rPr>
        <w:t>fumigation compliance</w:t>
      </w:r>
      <w:r>
        <w:rPr>
          <w:rFonts w:hint="eastAsia" w:ascii="宋体" w:hAnsi="宋体" w:eastAsia="宋体" w:cs="宋体"/>
          <w:snapToGrid/>
          <w:kern w:val="2"/>
          <w:lang w:val="en-US" w:eastAsia="zh-CN"/>
        </w:rPr>
        <w:t xml:space="preserve"> </w:t>
      </w:r>
      <w:r>
        <w:rPr>
          <w:rFonts w:hint="eastAsia" w:ascii="宋体" w:hAnsi="宋体" w:eastAsia="宋体" w:cs="宋体"/>
          <w:snapToGrid/>
          <w:kern w:val="2"/>
          <w:lang w:eastAsia="zh-CN"/>
        </w:rPr>
        <w:t>requirements》。</w:t>
      </w:r>
    </w:p>
    <w:p>
      <w:pPr>
        <w:pStyle w:val="10"/>
        <w:numPr>
          <w:ilvl w:val="0"/>
          <w:numId w:val="1"/>
        </w:numPr>
        <w:snapToGrid w:val="0"/>
        <w:spacing w:before="312" w:after="312"/>
        <w:ind w:firstLine="0"/>
        <w:outlineLvl w:val="0"/>
        <w:rPr>
          <w:rFonts w:ascii="Times New Roman"/>
          <w:b/>
          <w:bCs/>
        </w:rPr>
      </w:pPr>
      <w:r>
        <w:rPr>
          <w:rFonts w:hint="eastAsia" w:ascii="Times New Roman"/>
          <w:b/>
          <w:bCs/>
        </w:rPr>
        <w:t>与有关的现行法律、法规的关系</w:t>
      </w:r>
    </w:p>
    <w:p>
      <w:pPr>
        <w:widowControl w:val="0"/>
        <w:kinsoku/>
        <w:autoSpaceDE/>
        <w:autoSpaceDN/>
        <w:adjustRightInd/>
        <w:snapToGrid/>
        <w:ind w:firstLine="420" w:firstLineChars="200"/>
        <w:jc w:val="both"/>
        <w:textAlignment w:val="auto"/>
        <w:rPr>
          <w:rFonts w:ascii="宋体" w:hAnsi="宋体" w:eastAsia="宋体" w:cs="宋体"/>
          <w:snapToGrid/>
          <w:kern w:val="2"/>
          <w:lang w:eastAsia="zh-CN"/>
        </w:rPr>
      </w:pPr>
      <w:r>
        <w:rPr>
          <w:rFonts w:hint="eastAsia" w:ascii="宋体" w:hAnsi="宋体" w:eastAsia="宋体" w:cs="宋体"/>
          <w:snapToGrid/>
          <w:kern w:val="2"/>
          <w:lang w:eastAsia="zh-CN"/>
        </w:rPr>
        <w:t>本标准与现行的标准没有重复，也符合现行的法律、法规的要求及规定。</w:t>
      </w:r>
    </w:p>
    <w:p>
      <w:pPr>
        <w:pStyle w:val="10"/>
        <w:numPr>
          <w:ilvl w:val="0"/>
          <w:numId w:val="1"/>
        </w:numPr>
        <w:snapToGrid w:val="0"/>
        <w:spacing w:before="312" w:after="312"/>
        <w:ind w:firstLine="0"/>
        <w:outlineLvl w:val="0"/>
        <w:rPr>
          <w:rFonts w:ascii="Times New Roman"/>
          <w:b/>
          <w:bCs/>
        </w:rPr>
      </w:pPr>
      <w:r>
        <w:rPr>
          <w:rFonts w:hint="eastAsia" w:ascii="Times New Roman"/>
          <w:b/>
          <w:bCs/>
        </w:rPr>
        <w:t>技术要求不低于强制性国家标准相关要求的说明</w:t>
      </w:r>
    </w:p>
    <w:p>
      <w:pPr>
        <w:widowControl w:val="0"/>
        <w:kinsoku/>
        <w:autoSpaceDE/>
        <w:autoSpaceDN/>
        <w:adjustRightInd/>
        <w:snapToGrid/>
        <w:ind w:firstLine="420" w:firstLineChars="200"/>
        <w:jc w:val="both"/>
        <w:textAlignment w:val="auto"/>
        <w:rPr>
          <w:rFonts w:hint="eastAsia" w:ascii="宋体" w:hAnsi="宋体" w:eastAsia="宋体" w:cs="宋体"/>
          <w:snapToGrid/>
          <w:kern w:val="2"/>
          <w:lang w:eastAsia="zh-CN"/>
        </w:rPr>
      </w:pPr>
      <w:r>
        <w:rPr>
          <w:rFonts w:hint="eastAsia" w:ascii="宋体" w:hAnsi="宋体" w:eastAsia="宋体" w:cs="宋体"/>
          <w:snapToGrid/>
          <w:kern w:val="2"/>
          <w:lang w:eastAsia="zh-CN"/>
        </w:rPr>
        <w:t>至本标准编制之日，尚未发与其相关的强制性国家标准。</w:t>
      </w:r>
    </w:p>
    <w:p>
      <w:pPr>
        <w:pStyle w:val="10"/>
        <w:numPr>
          <w:ilvl w:val="0"/>
          <w:numId w:val="1"/>
        </w:numPr>
        <w:snapToGrid w:val="0"/>
        <w:spacing w:before="312" w:after="312"/>
        <w:ind w:firstLine="0"/>
        <w:outlineLvl w:val="0"/>
        <w:rPr>
          <w:rFonts w:ascii="Times New Roman"/>
          <w:b/>
          <w:bCs/>
        </w:rPr>
      </w:pPr>
      <w:r>
        <w:rPr>
          <w:rFonts w:hint="eastAsia" w:ascii="Times New Roman"/>
          <w:b/>
          <w:bCs/>
        </w:rPr>
        <w:t>技术要求高于推荐性标准相关要求的情况</w:t>
      </w:r>
    </w:p>
    <w:p>
      <w:pPr>
        <w:widowControl w:val="0"/>
        <w:kinsoku/>
        <w:autoSpaceDE/>
        <w:autoSpaceDN/>
        <w:adjustRightInd/>
        <w:snapToGrid/>
        <w:ind w:firstLine="420" w:firstLineChars="200"/>
        <w:jc w:val="both"/>
        <w:textAlignment w:val="auto"/>
        <w:rPr>
          <w:rFonts w:ascii="宋体" w:hAnsi="宋体" w:eastAsia="宋体" w:cs="宋体"/>
          <w:snapToGrid/>
          <w:kern w:val="2"/>
          <w:lang w:eastAsia="zh-CN"/>
        </w:rPr>
      </w:pPr>
      <w:r>
        <w:rPr>
          <w:rFonts w:hint="eastAsia" w:ascii="宋体" w:hAnsi="宋体" w:eastAsia="宋体" w:cs="宋体"/>
          <w:snapToGrid/>
          <w:kern w:val="2"/>
          <w:lang w:eastAsia="zh-CN"/>
        </w:rPr>
        <w:t>本标准技术要求不低于推荐性标准如下：</w:t>
      </w:r>
    </w:p>
    <w:p>
      <w:pPr>
        <w:widowControl w:val="0"/>
        <w:numPr>
          <w:ilvl w:val="0"/>
          <w:numId w:val="7"/>
        </w:numPr>
        <w:kinsoku/>
        <w:autoSpaceDE/>
        <w:autoSpaceDN/>
        <w:adjustRightInd/>
        <w:snapToGrid/>
        <w:ind w:firstLine="420" w:firstLineChars="200"/>
        <w:jc w:val="both"/>
        <w:textAlignment w:val="auto"/>
        <w:rPr>
          <w:rFonts w:hint="default" w:ascii="Times New Roman" w:hAnsi="Times New Roman" w:eastAsia="宋体" w:cs="Times New Roman"/>
          <w:lang w:eastAsia="zh-CN"/>
        </w:rPr>
      </w:pPr>
      <w:r>
        <w:rPr>
          <w:rFonts w:hint="default" w:ascii="Times New Roman" w:hAnsi="Times New Roman" w:eastAsia="宋体" w:cs="Times New Roman"/>
          <w:lang w:eastAsia="zh-CN"/>
        </w:rPr>
        <w:t>GB</w:t>
      </w:r>
      <w:r>
        <w:rPr>
          <w:rFonts w:hint="default" w:ascii="Times New Roman" w:hAnsi="Times New Roman" w:eastAsia="宋体" w:cs="Times New Roman"/>
          <w:lang w:val="en-US" w:eastAsia="zh-CN"/>
        </w:rPr>
        <w:t>/</w:t>
      </w:r>
      <w:r>
        <w:rPr>
          <w:rFonts w:hint="default" w:ascii="Times New Roman" w:hAnsi="Times New Roman" w:eastAsia="宋体" w:cs="Times New Roman"/>
          <w:lang w:eastAsia="zh-CN"/>
        </w:rPr>
        <w:t>T 31752 溴甲烷检疫熏蒸库技术规范</w:t>
      </w:r>
    </w:p>
    <w:p>
      <w:pPr>
        <w:widowControl w:val="0"/>
        <w:numPr>
          <w:ilvl w:val="0"/>
          <w:numId w:val="7"/>
        </w:numPr>
        <w:kinsoku/>
        <w:autoSpaceDE/>
        <w:autoSpaceDN/>
        <w:adjustRightInd/>
        <w:snapToGrid/>
        <w:ind w:firstLine="420" w:firstLineChars="200"/>
        <w:jc w:val="both"/>
        <w:textAlignment w:val="auto"/>
        <w:rPr>
          <w:rFonts w:hint="default" w:ascii="Times New Roman" w:hAnsi="Times New Roman" w:eastAsia="宋体" w:cs="Times New Roman"/>
          <w:lang w:eastAsia="zh-CN"/>
        </w:rPr>
      </w:pPr>
      <w:r>
        <w:rPr>
          <w:rFonts w:hint="default" w:ascii="Times New Roman" w:hAnsi="Times New Roman" w:eastAsia="宋体" w:cs="Times New Roman"/>
          <w:lang w:eastAsia="zh-CN"/>
        </w:rPr>
        <w:t>GB</w:t>
      </w:r>
      <w:r>
        <w:rPr>
          <w:rFonts w:hint="default" w:ascii="Times New Roman" w:hAnsi="Times New Roman" w:eastAsia="宋体" w:cs="Times New Roman"/>
          <w:lang w:val="en-US" w:eastAsia="zh-CN"/>
        </w:rPr>
        <w:t>/</w:t>
      </w:r>
      <w:r>
        <w:rPr>
          <w:rFonts w:hint="default" w:ascii="Times New Roman" w:hAnsi="Times New Roman" w:eastAsia="宋体" w:cs="Times New Roman"/>
          <w:lang w:eastAsia="zh-CN"/>
        </w:rPr>
        <w:t>T 36854 集装箱熏蒸操作规程</w:t>
      </w:r>
    </w:p>
    <w:p>
      <w:pPr>
        <w:widowControl w:val="0"/>
        <w:numPr>
          <w:ilvl w:val="0"/>
          <w:numId w:val="7"/>
        </w:numPr>
        <w:kinsoku/>
        <w:autoSpaceDE/>
        <w:autoSpaceDN/>
        <w:adjustRightInd/>
        <w:snapToGrid/>
        <w:ind w:firstLine="420" w:firstLineChars="200"/>
        <w:jc w:val="both"/>
        <w:textAlignment w:val="auto"/>
        <w:rPr>
          <w:rFonts w:hint="default" w:ascii="Times New Roman" w:hAnsi="Times New Roman" w:eastAsia="宋体" w:cs="Times New Roman"/>
          <w:lang w:eastAsia="zh-CN"/>
        </w:rPr>
      </w:pPr>
      <w:r>
        <w:rPr>
          <w:rFonts w:hint="default" w:ascii="Times New Roman" w:hAnsi="Times New Roman" w:eastAsia="宋体" w:cs="Times New Roman"/>
          <w:lang w:eastAsia="zh-CN"/>
        </w:rPr>
        <w:t>SN</w:t>
      </w:r>
      <w:r>
        <w:rPr>
          <w:rFonts w:hint="default" w:ascii="Times New Roman" w:hAnsi="Times New Roman" w:eastAsia="宋体" w:cs="Times New Roman"/>
          <w:lang w:val="en-US" w:eastAsia="zh-CN"/>
        </w:rPr>
        <w:t>/</w:t>
      </w:r>
      <w:r>
        <w:rPr>
          <w:rFonts w:hint="default" w:ascii="Times New Roman" w:hAnsi="Times New Roman" w:eastAsia="宋体" w:cs="Times New Roman"/>
          <w:lang w:eastAsia="zh-CN"/>
        </w:rPr>
        <w:t>T 1123</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lang w:eastAsia="zh-CN"/>
        </w:rPr>
        <w:t>帐幕熏蒸处理操作规程</w:t>
      </w:r>
    </w:p>
    <w:p>
      <w:pPr>
        <w:widowControl w:val="0"/>
        <w:numPr>
          <w:ilvl w:val="0"/>
          <w:numId w:val="7"/>
        </w:numPr>
        <w:kinsoku/>
        <w:autoSpaceDE/>
        <w:autoSpaceDN/>
        <w:adjustRightInd/>
        <w:snapToGrid/>
        <w:ind w:firstLine="420" w:firstLineChars="200"/>
        <w:jc w:val="both"/>
        <w:textAlignment w:val="auto"/>
        <w:rPr>
          <w:rFonts w:hint="default" w:ascii="Times New Roman" w:hAnsi="Times New Roman" w:eastAsia="宋体" w:cs="Times New Roman"/>
          <w:lang w:eastAsia="zh-CN"/>
        </w:rPr>
      </w:pPr>
      <w:r>
        <w:rPr>
          <w:rFonts w:hint="default" w:ascii="Times New Roman" w:hAnsi="Times New Roman" w:eastAsia="宋体" w:cs="Times New Roman"/>
          <w:lang w:eastAsia="zh-CN"/>
        </w:rPr>
        <w:t>SN</w:t>
      </w:r>
      <w:r>
        <w:rPr>
          <w:rFonts w:hint="default" w:ascii="Times New Roman" w:hAnsi="Times New Roman" w:eastAsia="宋体" w:cs="Times New Roman"/>
          <w:lang w:val="en-US" w:eastAsia="zh-CN"/>
        </w:rPr>
        <w:t>/</w:t>
      </w:r>
      <w:r>
        <w:rPr>
          <w:rFonts w:hint="default" w:ascii="Times New Roman" w:hAnsi="Times New Roman" w:eastAsia="宋体" w:cs="Times New Roman"/>
          <w:lang w:eastAsia="zh-CN"/>
        </w:rPr>
        <w:t>T 3282</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lang w:eastAsia="zh-CN"/>
        </w:rPr>
        <w:t>检疫熏蒸处理基本要求</w:t>
      </w:r>
    </w:p>
    <w:p>
      <w:pPr>
        <w:widowControl w:val="0"/>
        <w:numPr>
          <w:numId w:val="0"/>
        </w:numPr>
        <w:kinsoku/>
        <w:autoSpaceDE/>
        <w:autoSpaceDN/>
        <w:adjustRightInd/>
        <w:snapToGrid/>
        <w:jc w:val="both"/>
        <w:textAlignment w:val="auto"/>
        <w:rPr>
          <w:rFonts w:ascii="宋体" w:hAnsi="宋体" w:eastAsia="宋体" w:cs="宋体"/>
          <w:snapToGrid/>
          <w:kern w:val="2"/>
          <w:lang w:eastAsia="zh-CN"/>
        </w:rPr>
      </w:pPr>
    </w:p>
    <w:p>
      <w:pPr>
        <w:pStyle w:val="10"/>
        <w:numPr>
          <w:ilvl w:val="0"/>
          <w:numId w:val="1"/>
        </w:numPr>
        <w:snapToGrid w:val="0"/>
        <w:spacing w:before="312" w:after="312"/>
        <w:ind w:firstLine="0"/>
        <w:outlineLvl w:val="0"/>
        <w:rPr>
          <w:rFonts w:ascii="Times New Roman"/>
          <w:b/>
          <w:bCs/>
        </w:rPr>
      </w:pPr>
      <w:r>
        <w:rPr>
          <w:rFonts w:hint="eastAsia" w:ascii="Times New Roman"/>
          <w:b/>
          <w:bCs/>
        </w:rPr>
        <w:t>其他应又予说明的事项</w:t>
      </w:r>
    </w:p>
    <w:p>
      <w:pPr>
        <w:rPr>
          <w:rFonts w:ascii="宋体" w:hAnsi="宋体" w:eastAsia="宋体" w:cs="宋体"/>
          <w:snapToGrid/>
          <w:kern w:val="2"/>
          <w:lang w:eastAsia="zh-CN"/>
        </w:rPr>
      </w:pPr>
      <w:r>
        <w:rPr>
          <w:rFonts w:hint="eastAsia" w:ascii="宋体" w:hAnsi="宋体" w:eastAsia="宋体" w:cs="宋体"/>
          <w:snapToGrid/>
          <w:kern w:val="2"/>
          <w:lang w:eastAsia="zh-CN"/>
        </w:rPr>
        <w:t xml:space="preserve"> 无。</w:t>
      </w:r>
      <w:bookmarkStart w:id="0" w:name="_GoBack"/>
      <w:bookmarkEnd w:id="0"/>
    </w:p>
    <w:sectPr>
      <w:pgSz w:w="11906" w:h="16838"/>
      <w:pgMar w:top="1417" w:right="1134"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panose1 w:val="02000000000000000000"/>
    <w:charset w:val="86"/>
    <w:family w:val="auto"/>
    <w:pitch w:val="default"/>
    <w:sig w:usb0="A00002BF" w:usb1="184F6CFA" w:usb2="00000012" w:usb3="00000000" w:csb0="00040001" w:csb1="00000000"/>
  </w:font>
  <w:font w:name="Calibri Light">
    <w:panose1 w:val="020F0302020204030204"/>
    <w:charset w:val="00"/>
    <w:family w:val="auto"/>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小标宋简体">
    <w:panose1 w:val="02000000000000000000"/>
    <w:charset w:val="86"/>
    <w:family w:val="script"/>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方正楷体简体">
    <w:panose1 w:val="02000000000000000000"/>
    <w:charset w:val="86"/>
    <w:family w:val="script"/>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3C6E3B"/>
    <w:multiLevelType w:val="singleLevel"/>
    <w:tmpl w:val="C93C6E3B"/>
    <w:lvl w:ilvl="0" w:tentative="0">
      <w:start w:val="1"/>
      <w:numFmt w:val="decimal"/>
      <w:lvlText w:val="(%1)"/>
      <w:lvlJc w:val="left"/>
      <w:pPr>
        <w:ind w:left="425" w:hanging="425"/>
      </w:pPr>
      <w:rPr>
        <w:rFonts w:hint="default"/>
      </w:rPr>
    </w:lvl>
  </w:abstractNum>
  <w:abstractNum w:abstractNumId="1">
    <w:nsid w:val="DCA019D8"/>
    <w:multiLevelType w:val="singleLevel"/>
    <w:tmpl w:val="DCA019D8"/>
    <w:lvl w:ilvl="0" w:tentative="0">
      <w:start w:val="1"/>
      <w:numFmt w:val="decimal"/>
      <w:suff w:val="nothing"/>
      <w:lvlText w:val="%1、"/>
      <w:lvlJc w:val="left"/>
    </w:lvl>
  </w:abstractNum>
  <w:abstractNum w:abstractNumId="2">
    <w:nsid w:val="E2E03F99"/>
    <w:multiLevelType w:val="singleLevel"/>
    <w:tmpl w:val="E2E03F99"/>
    <w:lvl w:ilvl="0" w:tentative="0">
      <w:start w:val="1"/>
      <w:numFmt w:val="decimal"/>
      <w:lvlText w:val="(%1)"/>
      <w:lvlJc w:val="left"/>
      <w:pPr>
        <w:ind w:left="425" w:hanging="425"/>
      </w:pPr>
      <w:rPr>
        <w:rFonts w:hint="default"/>
      </w:rPr>
    </w:lvl>
  </w:abstractNum>
  <w:abstractNum w:abstractNumId="3">
    <w:nsid w:val="F72A8F6A"/>
    <w:multiLevelType w:val="singleLevel"/>
    <w:tmpl w:val="F72A8F6A"/>
    <w:lvl w:ilvl="0" w:tentative="0">
      <w:start w:val="1"/>
      <w:numFmt w:val="decimal"/>
      <w:lvlText w:val="%1."/>
      <w:lvlJc w:val="left"/>
      <w:pPr>
        <w:ind w:left="425" w:hanging="425"/>
      </w:pPr>
      <w:rPr>
        <w:rFonts w:hint="default" w:ascii="黑体" w:hAnsi="黑体" w:eastAsia="黑体" w:cs="黑体"/>
        <w:b/>
        <w:bCs/>
      </w:rPr>
    </w:lvl>
  </w:abstractNum>
  <w:abstractNum w:abstractNumId="4">
    <w:nsid w:val="52757F2B"/>
    <w:multiLevelType w:val="singleLevel"/>
    <w:tmpl w:val="52757F2B"/>
    <w:lvl w:ilvl="0" w:tentative="0">
      <w:start w:val="1"/>
      <w:numFmt w:val="chineseCounting"/>
      <w:suff w:val="nothing"/>
      <w:lvlText w:val="%1、"/>
      <w:lvlJc w:val="left"/>
      <w:pPr>
        <w:ind w:left="0" w:firstLine="420"/>
      </w:pPr>
      <w:rPr>
        <w:rFonts w:hint="eastAsia"/>
      </w:rPr>
    </w:lvl>
  </w:abstractNum>
  <w:abstractNum w:abstractNumId="5">
    <w:nsid w:val="6AF85FE3"/>
    <w:multiLevelType w:val="singleLevel"/>
    <w:tmpl w:val="6AF85FE3"/>
    <w:lvl w:ilvl="0" w:tentative="0">
      <w:start w:val="1"/>
      <w:numFmt w:val="decimal"/>
      <w:lvlText w:val="%1."/>
      <w:lvlJc w:val="left"/>
      <w:pPr>
        <w:tabs>
          <w:tab w:val="left" w:pos="312"/>
        </w:tabs>
      </w:pPr>
    </w:lvl>
  </w:abstractNum>
  <w:abstractNum w:abstractNumId="6">
    <w:nsid w:val="7AB27919"/>
    <w:multiLevelType w:val="singleLevel"/>
    <w:tmpl w:val="7AB27919"/>
    <w:lvl w:ilvl="0" w:tentative="0">
      <w:start w:val="1"/>
      <w:numFmt w:val="decimal"/>
      <w:lvlText w:val="%1."/>
      <w:lvlJc w:val="left"/>
      <w:pPr>
        <w:ind w:left="425" w:hanging="425"/>
      </w:pPr>
      <w:rPr>
        <w:rFonts w:hint="default" w:ascii="黑体" w:hAnsi="黑体" w:eastAsia="黑体" w:cs="黑体"/>
        <w:b/>
        <w:bCs/>
      </w:rPr>
    </w:lvl>
  </w:abstractNum>
  <w:num w:numId="1">
    <w:abstractNumId w:val="4"/>
  </w:num>
  <w:num w:numId="2">
    <w:abstractNumId w:val="3"/>
  </w:num>
  <w:num w:numId="3">
    <w:abstractNumId w:val="0"/>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1MzBjNzg2MzJlNjg1NTUxMTg2YmI3M2Y4Y2M5NTEifQ=="/>
  </w:docVars>
  <w:rsids>
    <w:rsidRoot w:val="00441B69"/>
    <w:rsid w:val="00121F72"/>
    <w:rsid w:val="001A1CBA"/>
    <w:rsid w:val="001B7237"/>
    <w:rsid w:val="003E04AE"/>
    <w:rsid w:val="00441B69"/>
    <w:rsid w:val="006071EF"/>
    <w:rsid w:val="00707C34"/>
    <w:rsid w:val="007962CD"/>
    <w:rsid w:val="00CA5E96"/>
    <w:rsid w:val="00F70E06"/>
    <w:rsid w:val="015B703A"/>
    <w:rsid w:val="01AA5151"/>
    <w:rsid w:val="02D726D3"/>
    <w:rsid w:val="0B2621C1"/>
    <w:rsid w:val="0BA00A9C"/>
    <w:rsid w:val="0DC91529"/>
    <w:rsid w:val="0F33017A"/>
    <w:rsid w:val="0F411515"/>
    <w:rsid w:val="10CD30DE"/>
    <w:rsid w:val="119670D5"/>
    <w:rsid w:val="14ED3166"/>
    <w:rsid w:val="16F77107"/>
    <w:rsid w:val="17964D0F"/>
    <w:rsid w:val="187509A3"/>
    <w:rsid w:val="18F048F8"/>
    <w:rsid w:val="1A1B56EE"/>
    <w:rsid w:val="1A4E1830"/>
    <w:rsid w:val="1D8B05A9"/>
    <w:rsid w:val="1E594203"/>
    <w:rsid w:val="1EA86B70"/>
    <w:rsid w:val="1F4D602E"/>
    <w:rsid w:val="1FD04999"/>
    <w:rsid w:val="21DE339D"/>
    <w:rsid w:val="22145011"/>
    <w:rsid w:val="22B97967"/>
    <w:rsid w:val="22F16B9C"/>
    <w:rsid w:val="232E1270"/>
    <w:rsid w:val="23496D97"/>
    <w:rsid w:val="237007B6"/>
    <w:rsid w:val="259D531E"/>
    <w:rsid w:val="27DD0712"/>
    <w:rsid w:val="29C739A3"/>
    <w:rsid w:val="2C26639B"/>
    <w:rsid w:val="2C5162C2"/>
    <w:rsid w:val="2D382E87"/>
    <w:rsid w:val="2D3C1AC4"/>
    <w:rsid w:val="2EAA3C05"/>
    <w:rsid w:val="2EFA558F"/>
    <w:rsid w:val="2F256067"/>
    <w:rsid w:val="2F7E7F6E"/>
    <w:rsid w:val="2FD61B58"/>
    <w:rsid w:val="30073BB1"/>
    <w:rsid w:val="32E072DE"/>
    <w:rsid w:val="33E10ACB"/>
    <w:rsid w:val="345744CF"/>
    <w:rsid w:val="36291668"/>
    <w:rsid w:val="370C65DF"/>
    <w:rsid w:val="37755CB2"/>
    <w:rsid w:val="38390229"/>
    <w:rsid w:val="38DD3804"/>
    <w:rsid w:val="3ADF3C25"/>
    <w:rsid w:val="3B0A77C1"/>
    <w:rsid w:val="3BC2722C"/>
    <w:rsid w:val="3C623DA1"/>
    <w:rsid w:val="3F3E5CB9"/>
    <w:rsid w:val="3FE05BB7"/>
    <w:rsid w:val="418D5DEE"/>
    <w:rsid w:val="42172361"/>
    <w:rsid w:val="423401BD"/>
    <w:rsid w:val="451C79BE"/>
    <w:rsid w:val="47163FDC"/>
    <w:rsid w:val="4AE44CD1"/>
    <w:rsid w:val="4C5A734B"/>
    <w:rsid w:val="4DBA7F6B"/>
    <w:rsid w:val="4E112A3A"/>
    <w:rsid w:val="4EA62BB5"/>
    <w:rsid w:val="4F932DDB"/>
    <w:rsid w:val="50083210"/>
    <w:rsid w:val="50AA445B"/>
    <w:rsid w:val="50C03AEB"/>
    <w:rsid w:val="513E7CDA"/>
    <w:rsid w:val="53BC3C3D"/>
    <w:rsid w:val="55717AA9"/>
    <w:rsid w:val="5A3A7F15"/>
    <w:rsid w:val="5B7132EA"/>
    <w:rsid w:val="5DA34AB6"/>
    <w:rsid w:val="5FAF0086"/>
    <w:rsid w:val="60167306"/>
    <w:rsid w:val="61406582"/>
    <w:rsid w:val="61D27B22"/>
    <w:rsid w:val="688C2D90"/>
    <w:rsid w:val="697426DF"/>
    <w:rsid w:val="6B7D0AFE"/>
    <w:rsid w:val="6E2B0D75"/>
    <w:rsid w:val="6E423244"/>
    <w:rsid w:val="737E0585"/>
    <w:rsid w:val="74D72742"/>
    <w:rsid w:val="75BA73F6"/>
    <w:rsid w:val="76C15156"/>
    <w:rsid w:val="78393FFF"/>
    <w:rsid w:val="79E63130"/>
    <w:rsid w:val="7A28432B"/>
    <w:rsid w:val="7ECF79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style>
  <w:style w:type="paragraph" w:styleId="3">
    <w:name w:val="Balloon Text"/>
    <w:basedOn w:val="1"/>
    <w:link w:val="16"/>
    <w:qFormat/>
    <w:uiPriority w:val="0"/>
    <w:rPr>
      <w:sz w:val="18"/>
      <w:szCs w:val="18"/>
    </w:rPr>
  </w:style>
  <w:style w:type="paragraph" w:styleId="4">
    <w:name w:val="footer"/>
    <w:basedOn w:val="1"/>
    <w:link w:val="15"/>
    <w:qFormat/>
    <w:uiPriority w:val="0"/>
    <w:pPr>
      <w:tabs>
        <w:tab w:val="center" w:pos="4153"/>
        <w:tab w:val="right" w:pos="8306"/>
      </w:tabs>
    </w:pPr>
    <w:rPr>
      <w:sz w:val="18"/>
      <w:szCs w:val="18"/>
    </w:rPr>
  </w:style>
  <w:style w:type="paragraph" w:styleId="5">
    <w:name w:val="header"/>
    <w:basedOn w:val="1"/>
    <w:link w:val="14"/>
    <w:uiPriority w:val="0"/>
    <w:pPr>
      <w:pBdr>
        <w:bottom w:val="single" w:color="auto" w:sz="6" w:space="1"/>
      </w:pBdr>
      <w:tabs>
        <w:tab w:val="center" w:pos="4153"/>
        <w:tab w:val="right" w:pos="8306"/>
      </w:tabs>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段"/>
    <w:basedOn w:val="1"/>
    <w:qFormat/>
    <w:uiPriority w:val="0"/>
    <w:pPr>
      <w:spacing w:line="360" w:lineRule="atLeast"/>
      <w:ind w:firstLine="425"/>
    </w:pPr>
    <w:rPr>
      <w:rFonts w:ascii="宋体" w:hAnsi="Times New Roman" w:eastAsia="方正书宋简体"/>
      <w:szCs w:val="20"/>
      <w:lang w:val="zh-CN"/>
    </w:rPr>
  </w:style>
  <w:style w:type="paragraph" w:customStyle="1" w:styleId="10">
    <w:name w:val="章标题"/>
    <w:next w:val="9"/>
    <w:qFormat/>
    <w:uiPriority w:val="99"/>
    <w:pPr>
      <w:spacing w:beforeLines="100" w:afterLines="100"/>
      <w:jc w:val="both"/>
      <w:outlineLvl w:val="1"/>
    </w:pPr>
    <w:rPr>
      <w:rFonts w:ascii="黑体" w:hAnsi="Times New Roman" w:eastAsia="黑体" w:cs="Times New Roman"/>
      <w:sz w:val="21"/>
      <w:lang w:val="en-US" w:eastAsia="zh-CN" w:bidi="ar-SA"/>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font21"/>
    <w:basedOn w:val="8"/>
    <w:qFormat/>
    <w:uiPriority w:val="0"/>
    <w:rPr>
      <w:rFonts w:hint="eastAsia" w:ascii="宋体" w:hAnsi="宋体" w:eastAsia="宋体" w:cs="宋体"/>
      <w:color w:val="FF0000"/>
      <w:sz w:val="22"/>
      <w:szCs w:val="22"/>
      <w:u w:val="none"/>
    </w:rPr>
  </w:style>
  <w:style w:type="character" w:customStyle="1" w:styleId="13">
    <w:name w:val="font31"/>
    <w:basedOn w:val="8"/>
    <w:qFormat/>
    <w:uiPriority w:val="0"/>
    <w:rPr>
      <w:rFonts w:hint="eastAsia" w:ascii="宋体" w:hAnsi="宋体" w:eastAsia="宋体" w:cs="宋体"/>
      <w:color w:val="000000"/>
      <w:sz w:val="22"/>
      <w:szCs w:val="22"/>
      <w:u w:val="none"/>
    </w:rPr>
  </w:style>
  <w:style w:type="character" w:customStyle="1" w:styleId="14">
    <w:name w:val="页眉 Char"/>
    <w:basedOn w:val="8"/>
    <w:link w:val="5"/>
    <w:qFormat/>
    <w:uiPriority w:val="0"/>
    <w:rPr>
      <w:rFonts w:ascii="Arial" w:hAnsi="Arial" w:eastAsia="Arial" w:cs="Arial"/>
      <w:snapToGrid w:val="0"/>
      <w:color w:val="000000"/>
      <w:sz w:val="18"/>
      <w:szCs w:val="18"/>
      <w:lang w:eastAsia="en-US"/>
    </w:rPr>
  </w:style>
  <w:style w:type="character" w:customStyle="1" w:styleId="15">
    <w:name w:val="页脚 Char"/>
    <w:basedOn w:val="8"/>
    <w:link w:val="4"/>
    <w:qFormat/>
    <w:uiPriority w:val="0"/>
    <w:rPr>
      <w:rFonts w:ascii="Arial" w:hAnsi="Arial" w:eastAsia="Arial" w:cs="Arial"/>
      <w:snapToGrid w:val="0"/>
      <w:color w:val="000000"/>
      <w:sz w:val="18"/>
      <w:szCs w:val="18"/>
      <w:lang w:eastAsia="en-US"/>
    </w:rPr>
  </w:style>
  <w:style w:type="character" w:customStyle="1" w:styleId="16">
    <w:name w:val="批注框文本 Char"/>
    <w:basedOn w:val="8"/>
    <w:link w:val="3"/>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1465</Words>
  <Characters>8353</Characters>
  <Lines>69</Lines>
  <Paragraphs>19</Paragraphs>
  <TotalTime>2</TotalTime>
  <ScaleCrop>false</ScaleCrop>
  <LinksUpToDate>false</LinksUpToDate>
  <CharactersWithSpaces>9799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2024-11-04T04:37:00Z</dcterms:created>
  <dc:creator>86136</dc:creator>
  <cp:lastModifiedBy>林宛玟</cp:lastModifiedBy>
  <dcterms:modified xsi:type="dcterms:W3CDTF">2024-11-13T08:45:20Z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1D49E3E8337B4E3EB5BB6D6315BFC77A</vt:lpwstr>
  </property>
</Properties>
</file>