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方正仿宋_GBK" w:cs="Times New Roman" w:hAnsi="Times New Roman"/>
          <w:sz w:val="32"/>
          <w:szCs w:val="32"/>
          <w:lang w:eastAsia="zh-CN"/>
        </w:rPr>
      </w:pP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eastAsia="方正小标宋_GBK" w:cs="Times New Roman" w:hAnsi="Times New Roman"/>
          <w:lang w:eastAsia="zh-CN"/>
        </w:rPr>
      </w:pPr>
      <w:r>
        <w:rPr>
          <w:rFonts w:ascii="Times New Roman" w:eastAsia="方正小标宋_GBK" w:cs="Times New Roman" w:hAnsi="Times New Roman"/>
          <w:lang w:eastAsia="zh-CN"/>
        </w:rPr>
        <w:t>《</w:t>
      </w:r>
      <w:r>
        <w:rPr>
          <w:rFonts w:ascii="Times New Roman" w:eastAsia="方正小标宋_GBK" w:cs="Times New Roman" w:hAnsi="Times New Roman"/>
          <w:lang w:val="en-US" w:eastAsia="zh-CN"/>
        </w:rPr>
        <w:t>中华人民共和国</w:t>
      </w:r>
      <w:r>
        <w:rPr>
          <w:rFonts w:ascii="Times New Roman" w:eastAsia="方正小标宋_GBK" w:cs="Times New Roman" w:hAnsi="Times New Roman"/>
          <w:lang w:eastAsia="zh-CN"/>
        </w:rPr>
        <w:t>进口食品境外生产企业注册管理规定》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eastAsia="方正小标宋_GBK" w:cs="Times New Roman" w:hAnsi="Times New Roman"/>
          <w:lang w:val="en-US" w:eastAsia="zh-CN"/>
        </w:rPr>
      </w:pPr>
      <w:r>
        <w:rPr>
          <w:rFonts w:ascii="Times New Roman" w:eastAsia="方正小标宋_GBK" w:cs="Times New Roman" w:hAnsi="Times New Roman"/>
          <w:lang w:eastAsia="zh-CN"/>
        </w:rPr>
        <w:t>（海关总署第248号令）修订</w:t>
      </w:r>
      <w:r>
        <w:rPr>
          <w:rFonts w:ascii="Times New Roman" w:eastAsia="方正小标宋_GBK" w:cs="Times New Roman" w:hAnsi="Times New Roman"/>
          <w:lang w:val="en-US" w:eastAsia="zh-CN"/>
        </w:rPr>
        <w:t>说明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eastAsia="zh-CN"/>
        </w:rPr>
      </w:pPr>
    </w:p>
    <w:p>
      <w:pPr>
        <w:pStyle w:val="15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sz w:val="32"/>
          <w:szCs w:val="32"/>
          <w:lang w:val="en-US" w:eastAsia="zh-CN"/>
        </w:rPr>
        <w:t>修订背景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现行《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中华人民共和国进口食品境外生产企业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注册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管理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规定》（以下简称“注册管理规定”）自20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22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年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月1日施行以来，通过强化对境外食品企业生产环节源头监管，为保障我国食品安全和维护贸易稳定发展发挥了重要作用。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随着我国对外开放进一步扩大，进口食品贸易额及境外生产企业注册申请快速增加，海关需要保障进口食品安全，同时服务对外贸易发展，注册管理规定需根据执行过程中反映出的问题，不断优化完善：</w: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一</w: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eastAsia="zh-CN"/>
        </w:rPr>
        <w:t>是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需</w:t>
      </w:r>
      <w:r>
        <w:rPr>
          <w:rFonts w:ascii="Times New Roman" w:eastAsia="方正仿宋_GBK" w:cs="Times New Roman" w:hAnsi="Times New Roman"/>
          <w:sz w:val="32"/>
          <w:szCs w:val="32"/>
          <w:lang w:val="zh-CN" w:bidi="ar-SA"/>
        </w:rPr>
        <w:t>全面压实境外食品安全主管部门和食品企业的责任，充分利用体系认可、目录管理等国际通行做法，更好匹配现有海关食品监管资源，更好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适应“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守国门、促发展”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要求；</w: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二</w: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eastAsia="zh-CN"/>
        </w:rPr>
        <w:t>是</w:t>
      </w:r>
      <w:r>
        <w:rPr>
          <w:rFonts w:ascii="Times New Roman" w:eastAsia="方正仿宋_GBK" w:hAnsi="Times New Roman"/>
          <w:bCs/>
        </w:rPr>
        <w:t>需充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分开展风险分析，科学评估、分类施策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，更加突出“诚信守法便利、失信违法惩戒”的导向性；</w: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三是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需优化完善具体监管条款，增强执行过程中的适配性和灵活性。</w:t>
      </w:r>
    </w:p>
    <w:p>
      <w:pPr>
        <w:pStyle w:val="15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方正黑体_GBK" w:eastAsia="方正黑体_GBK" w:cs="Times New Roman" w:hint="eastAsia"/>
          <w:sz w:val="32"/>
          <w:szCs w:val="32"/>
          <w:lang w:val="en-US" w:eastAsia="zh-CN"/>
        </w:rPr>
      </w:pPr>
      <w:r>
        <w:rPr>
          <w:rFonts w:ascii="方正黑体_GBK" w:eastAsia="方正黑体_GBK" w:cs="Times New Roman" w:hint="eastAsia"/>
          <w:sz w:val="32"/>
          <w:szCs w:val="32"/>
          <w:lang w:eastAsia="zh-CN"/>
        </w:rPr>
        <w:t>主要的修订内容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/>
        <w:rPr>
          <w:rFonts w:ascii="Times New Roman" w:eastAsia="方正仿宋_GBK" w:hAnsi="Times New Roman"/>
          <w:bCs/>
          <w:lang w:val="zh-CN" w:eastAsia="zh-CN"/>
        </w:rPr>
      </w:pPr>
      <w:r>
        <w:rPr>
          <w:rFonts w:ascii="方正仿宋_GBK" w:eastAsia="方正仿宋_GBK" w:cs="方正仿宋_GBK"/>
          <w:sz w:val="32"/>
          <w:szCs w:val="32"/>
        </w:rPr>
        <w:t>基于国际共治、风险管理、全程控制、严谨务实的原则，</w:t>
      </w:r>
      <w:r>
        <w:rPr>
          <w:rFonts w:ascii="Times New Roman" w:eastAsia="方正仿宋_GBK" w:hAnsi="Times New Roman"/>
          <w:bCs/>
          <w:lang w:val="zh-CN" w:eastAsia="zh-CN"/>
        </w:rPr>
        <w:t>对</w:t>
      </w:r>
      <w:r>
        <w:rPr>
          <w:rFonts w:ascii="Times New Roman" w:eastAsia="方正仿宋_GBK" w:hAnsi="Times New Roman"/>
          <w:bCs/>
          <w:lang w:eastAsia="zh-CN"/>
        </w:rPr>
        <w:t>注册管理规定</w:t>
      </w:r>
      <w:r>
        <w:rPr>
          <w:rFonts w:ascii="Times New Roman" w:eastAsia="方正仿宋_GBK" w:hAnsi="Times New Roman"/>
          <w:bCs/>
          <w:lang w:val="zh-CN" w:eastAsia="zh-CN"/>
        </w:rPr>
        <w:t>重点条款进行修订，主要考虑如下：</w:t>
      </w:r>
    </w:p>
    <w:p>
      <w:pPr>
        <w:pStyle w:val="15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b/>
          <w:bCs/>
          <w:sz w:val="32"/>
          <w:szCs w:val="32"/>
        </w:rPr>
        <w:t>（一）固化已有改革成果。</w:t>
      </w:r>
      <w:r>
        <w:rPr>
          <w:rFonts w:ascii="Times New Roman" w:eastAsia="方正仿宋_GBK" w:cs="Times New Roman" w:hAnsi="Times New Roman"/>
          <w:sz w:val="32"/>
          <w:szCs w:val="32"/>
          <w:lang w:eastAsia="zh-CN"/>
        </w:rPr>
        <w:t>注册管理规定实施3年来，已有170余个国家（地区）的9万家境外食品生产企业获得注册，290余个境外主管部门使用注册系统对华推荐企业。各国家地区已普遍了解并积极配合我全注册、官方推荐注册的注册要求和理念。修订稿在继续坚持进口食品境外生产企业全注册、高风险食品官方推荐注册的基础上，对具体实施条款进行优化，持续巩固注册工作已有成果。</w:t>
      </w:r>
    </w:p>
    <w:p>
      <w:pPr>
        <w:pStyle w:val="15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仿宋_GBK" w:hAnsi="Times New Roman" w:hint="eastAsia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eastAsia="方正仿宋_GBK" w:hAnsi="Times New Roman" w:hint="eastAsia"/>
          <w:b/>
          <w:bCs/>
          <w:sz w:val="32"/>
          <w:szCs w:val="32"/>
          <w:lang w:val="zh-CN"/>
        </w:rPr>
        <w:t>推动国际共治理念落地。</w:t>
      </w:r>
      <w:r>
        <w:rPr>
          <w:rFonts w:ascii="Times New Roman" w:eastAsia="方正仿宋_GBK" w:hAnsi="Times New Roman" w:hint="eastAsia"/>
          <w:bCs/>
          <w:sz w:val="32"/>
          <w:szCs w:val="32"/>
        </w:rPr>
        <w:t>增加基于</w:t>
      </w:r>
      <w:r>
        <w:rPr>
          <w:rFonts w:eastAsia="方正仿宋_GBK" w:cs="Times New Roman"/>
          <w:sz w:val="32"/>
          <w:szCs w:val="32"/>
        </w:rPr>
        <w:t>所在国家（地区）</w:t>
      </w:r>
      <w:r>
        <w:rPr>
          <w:rFonts w:eastAsia="方正仿宋_GBK" w:cs="Times New Roman"/>
          <w:bCs/>
          <w:sz w:val="32"/>
          <w:szCs w:val="32"/>
        </w:rPr>
        <w:t>食品安全管理体系</w:t>
      </w:r>
      <w:r>
        <w:rPr>
          <w:rFonts w:ascii="Times New Roman" w:eastAsia="方正仿宋_GBK" w:hAnsi="Times New Roman" w:hint="eastAsia"/>
          <w:bCs/>
          <w:sz w:val="32"/>
          <w:szCs w:val="32"/>
        </w:rPr>
        <w:t>认可结果，批准官方推荐企业名单注册的条款</w:t>
      </w:r>
      <w:r>
        <w:rPr>
          <w:rFonts w:ascii="Times New Roman" w:eastAsia="方正仿宋_GBK" w:hAnsi="Times New Roman"/>
          <w:bCs/>
          <w:sz w:val="32"/>
          <w:szCs w:val="32"/>
        </w:rPr>
        <w:t>（第六、七、八条）</w:t>
      </w:r>
      <w:r>
        <w:rPr>
          <w:rFonts w:ascii="Times New Roman" w:eastAsia="方正仿宋_GBK" w:hAnsi="Times New Roman" w:hint="eastAsia"/>
          <w:bCs/>
          <w:sz w:val="32"/>
          <w:szCs w:val="32"/>
        </w:rPr>
        <w:t>。通过压实境外主管部门监管责任，加强与境外主管部门合作，</w:t>
      </w:r>
      <w:r>
        <w:rPr>
          <w:rFonts w:ascii="Times New Roman" w:eastAsia="方正仿宋_GBK" w:hAnsi="Times New Roman" w:hint="eastAsia"/>
          <w:bCs/>
          <w:sz w:val="32"/>
          <w:szCs w:val="32"/>
          <w:lang w:val="zh-CN" w:eastAsia="zh-CN"/>
        </w:rPr>
        <w:t>签署合作文件等方式，认可外方对企业的监管体系，优化注册评审流程，批量注册获得体系认可的官方推荐企业名单</w:t>
      </w:r>
      <w:r>
        <w:rPr>
          <w:rFonts w:ascii="Times New Roman" w:eastAsia="方正仿宋_GBK" w:hAnsi="Times New Roman" w:hint="eastAsia"/>
          <w:sz w:val="32"/>
          <w:szCs w:val="32"/>
          <w:lang w:val="en-US" w:eastAsia="zh-CN"/>
        </w:rPr>
        <w:t>，同时按照协议督促外方落实注册后监管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责任</w:t>
      </w:r>
      <w:r>
        <w:rPr>
          <w:rFonts w:ascii="Times New Roman" w:eastAsia="方正仿宋_GBK" w:hAnsi="Times New Roman" w:hint="eastAsia"/>
          <w:sz w:val="32"/>
          <w:szCs w:val="32"/>
          <w:lang w:val="en-US" w:eastAsia="zh-CN"/>
        </w:rPr>
        <w:t>。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  <w:lang w:val="en-US" w:eastAsia="zh-CN"/>
        </w:rPr>
        <w:t>（三）</w:t>
      </w: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完善注册分级分类管理理念。</w:t>
      </w:r>
      <w:r>
        <w:rPr>
          <w:rFonts w:ascii="Times New Roman" w:eastAsia="方正仿宋_GBK" w:hAnsi="Times New Roman"/>
          <w:bCs/>
          <w:lang w:val="en-US" w:eastAsia="zh-CN"/>
        </w:rPr>
        <w:t>增加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《需提供官方推荐注册函的食品目录》相关条</w:t>
      </w:r>
      <w:r>
        <w:rPr>
          <w:rFonts w:ascii="Times New Roman" w:eastAsia="方正仿宋_GBK" w:hAnsi="Times New Roman"/>
        </w:rPr>
        <w:t>款（第九、十一条），</w:t>
      </w:r>
      <w:r>
        <w:rPr>
          <w:rFonts w:ascii="Times New Roman" w:eastAsia="方正仿宋_GBK" w:hAnsi="Times New Roman"/>
          <w:bCs/>
        </w:rPr>
        <w:t>通过强化风险评估，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科学研判各类产品生产过程风险因素，制定需提供官方检查报告及推荐函的《目录》，</w:t>
      </w:r>
      <w:r>
        <w:rPr>
          <w:rFonts w:ascii="Times New Roman" w:eastAsia="方正仿宋_GBK" w:cs="Times New Roman" w:hAnsi="Times New Roman"/>
          <w:sz w:val="32"/>
          <w:szCs w:val="32"/>
        </w:rPr>
        <w:t>由总署通过公告形式另行发布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并动态调整。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《目录》</w:t>
      </w:r>
      <w:r>
        <w:rPr>
          <w:rFonts w:ascii="Times New Roman" w:eastAsia="方正仿宋_GBK" w:cs="Times New Roman" w:hAnsi="Times New Roman"/>
          <w:sz w:val="32"/>
          <w:szCs w:val="32"/>
        </w:rPr>
        <w:t>内产品的生产企业在提交注册申请时，必须随附境外官方检查报告及推荐函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>。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b/>
          <w:bCs/>
          <w:sz w:val="32"/>
          <w:szCs w:val="32"/>
          <w:lang w:val="en-US" w:eastAsia="zh-CN"/>
        </w:rPr>
        <w:t>（四）</w:t>
      </w:r>
      <w:r>
        <w:rPr>
          <w:rFonts w:ascii="Times New Roman" w:eastAsia="方正仿宋_GBK" w:cs="Times New Roman" w:hAnsi="Times New Roman"/>
          <w:b/>
          <w:bCs/>
          <w:kern w:val="2"/>
          <w:sz w:val="32"/>
          <w:szCs w:val="32"/>
          <w:lang w:val="en-US" w:eastAsia="zh-CN" w:bidi="ar-SA"/>
        </w:rPr>
        <w:t>强化注册全过程监管。</w:t>
      </w:r>
      <w:r>
        <w:rPr>
          <w:rFonts w:ascii="Times New Roman" w:eastAsia="方正仿宋_GBK" w:hAnsi="Times New Roman" w:hint="eastAsia"/>
          <w:sz w:val="32"/>
          <w:szCs w:val="32"/>
        </w:rPr>
        <w:t>充分利用暂停、</w:t>
      </w:r>
      <w:r>
        <w:rPr>
          <w:rFonts w:ascii="Times New Roman" w:eastAsia="方正仿宋_GBK" w:hAnsi="Times New Roman"/>
          <w:sz w:val="32"/>
          <w:szCs w:val="32"/>
        </w:rPr>
        <w:t>整改、</w:t>
      </w:r>
      <w:r>
        <w:rPr>
          <w:rFonts w:ascii="Times New Roman" w:eastAsia="方正仿宋_GBK" w:hAnsi="Times New Roman" w:hint="eastAsia"/>
          <w:sz w:val="32"/>
          <w:szCs w:val="32"/>
        </w:rPr>
        <w:t>撤销等惩罚性手段对</w:t>
      </w:r>
      <w:r>
        <w:rPr>
          <w:rFonts w:ascii="Times New Roman" w:eastAsia="方正仿宋_GBK" w:hAnsi="Times New Roman"/>
          <w:sz w:val="32"/>
          <w:szCs w:val="32"/>
        </w:rPr>
        <w:t>不能持续</w:t>
      </w:r>
      <w:r>
        <w:rPr>
          <w:rFonts w:ascii="Times New Roman" w:eastAsia="方正仿宋_GBK" w:hAnsi="Times New Roman" w:hint="eastAsia"/>
          <w:sz w:val="32"/>
          <w:szCs w:val="32"/>
        </w:rPr>
        <w:t>符合要求</w:t>
      </w:r>
      <w:r>
        <w:rPr>
          <w:rFonts w:ascii="Times New Roman" w:eastAsia="方正仿宋_GBK" w:hAnsi="Times New Roman"/>
          <w:sz w:val="32"/>
          <w:szCs w:val="32"/>
        </w:rPr>
        <w:t>、进口食品被反复检出不合格</w:t>
      </w:r>
      <w:r>
        <w:rPr>
          <w:rFonts w:ascii="Times New Roman" w:eastAsia="方正仿宋_GBK" w:hAnsi="Times New Roman" w:hint="eastAsia"/>
          <w:sz w:val="32"/>
          <w:szCs w:val="32"/>
        </w:rPr>
        <w:t>的进口食品境外生产企业实施惩戒</w:t>
      </w:r>
      <w:r>
        <w:rPr>
          <w:rFonts w:ascii="Times New Roman" w:eastAsia="方正仿宋_GBK" w:hAnsi="Times New Roman"/>
          <w:sz w:val="32"/>
          <w:szCs w:val="32"/>
        </w:rPr>
        <w:t>（第十四、二十四条）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，强化注册后监管相关要求。</w:t>
      </w:r>
      <w:r>
        <w:rPr>
          <w:rFonts w:ascii="Times New Roman" w:eastAsia="方正仿宋_GBK" w:hAnsi="Times New Roman"/>
          <w:sz w:val="32"/>
          <w:szCs w:val="32"/>
        </w:rPr>
        <w:t>通过</w:t>
      </w:r>
      <w:r>
        <w:rPr>
          <w:rFonts w:ascii="Times New Roman" w:eastAsia="方正仿宋_GBK" w:hAnsi="Times New Roman"/>
          <w:sz w:val="32"/>
          <w:szCs w:val="32"/>
          <w:lang w:bidi="ar-SA"/>
        </w:rPr>
        <w:t>统筹注册前评估审核、进口时注册信息验核、注册后不定期</w:t>
      </w:r>
      <w:r>
        <w:rPr>
          <w:rFonts w:ascii="Times New Roman" w:eastAsia="方正仿宋_GBK" w:hAnsi="Times New Roman"/>
          <w:sz w:val="32"/>
          <w:szCs w:val="32"/>
        </w:rPr>
        <w:t>复查、发现问题后分类处置，完善全链条注册监管体系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</w:rPr>
        <w:t>（五）提升注册管理规定部分条款适用性</w:t>
      </w:r>
      <w:r>
        <w:rPr>
          <w:rFonts w:ascii="Times New Roman" w:eastAsia="方正仿宋_GBK" w:hAnsi="Times New Roman"/>
          <w:b/>
          <w:bCs/>
          <w:lang w:bidi="ar-SA"/>
        </w:rPr>
        <w:t>。</w:t>
      </w:r>
      <w:r>
        <w:rPr>
          <w:rFonts w:ascii="Times New Roman" w:eastAsia="方正仿宋_GBK" w:hAnsi="Times New Roman"/>
          <w:lang w:bidi="ar-SA"/>
        </w:rPr>
        <w:t>针对食品供应链全球化、生产品类多样化、企业管理集团化等特点，优化不同类型企业注册申请和管理模式（</w:t>
      </w:r>
      <w:r>
        <w:rPr>
          <w:rFonts w:ascii="Times New Roman" w:eastAsia="方正仿宋_GBK" w:hAnsi="Times New Roman"/>
          <w:sz w:val="32"/>
          <w:szCs w:val="32"/>
        </w:rPr>
        <w:t>第九、二十八条</w:t>
      </w:r>
      <w:r>
        <w:rPr>
          <w:rFonts w:ascii="Times New Roman" w:eastAsia="方正仿宋_GBK" w:hAnsi="Times New Roman"/>
          <w:lang w:bidi="ar-SA"/>
        </w:rPr>
        <w:t>）；</w:t>
      </w:r>
      <w:r>
        <w:rPr>
          <w:rFonts w:ascii="Times New Roman" w:eastAsia="方正仿宋_GBK" w:hAnsi="Times New Roman"/>
          <w:bCs/>
        </w:rPr>
        <w:t>优化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境外企业注册</w:t>
      </w:r>
      <w:r>
        <w:rPr>
          <w:rFonts w:ascii="Times New Roman" w:eastAsia="方正仿宋_GBK" w:cs="Times New Roman" w:hAnsi="Times New Roman"/>
          <w:bCs/>
          <w:sz w:val="32"/>
          <w:szCs w:val="32"/>
          <w:lang w:val="zh-CN"/>
        </w:rPr>
        <w:t>申请条件和材料（第十条）；完善暂停、撤销、注销、变更、延续等条款的适用范围，进一步提升可操作性等（第二十、二十四条）。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方正仿宋简体">
    <w:altName w:val="方正仿宋_GBK"/>
    <w:panose1 w:val="02010601030101010101"/>
    <w:charset w:val="86"/>
    <w:family w:val="auto"/>
    <w:pitch w:val="variable"/>
    <w:sig w:usb0="00000000" w:usb1="00000000" w:usb2="00000010" w:usb3="00000000" w:csb0="00040000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9"/>
      <w:tabs>
        <w:tab w:val="center" w:pos="4153"/>
        <w:tab w:val="right" w:pos="8307"/>
      </w:tabs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EC988CE"/>
    <w:multiLevelType w:val="singleLevel"/>
    <w:tmpl w:val="5EC988CE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ascii="方正黑体_GBK" w:hAnsi="方正黑体_GBK" w:eastAsia="方正黑体_GBK" w:cs="方正黑体_GBK"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2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jRkNmY4NzE3OTg4Mzc2ZmQ1OTg5ZGIzZGQyNmZjNT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styleId="15">
    <w:name w:val="Normal (Web)"/>
    <w:basedOn w:val="0"/>
    <w:autoRedefine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6">
    <w:name w:val="样式 7 三号"/>
    <w:autoRedefine/>
    <w:pPr>
      <w:spacing w:line="594" w:lineRule="exact"/>
    </w:pPr>
    <w:rPr>
      <w:rFonts w:ascii="等线" w:eastAsia="方正仿宋简体" w:cs="Arial" w:hAnsi="等线"/>
      <w:kern w:val="2"/>
      <w:sz w:val="32"/>
      <w:szCs w:val="22"/>
      <w:lang w:val="en-US" w:eastAsia="zh-CN" w:bidi="ar-SA"/>
    </w:rPr>
  </w:style>
  <w:style w:type="paragraph" w:customStyle="1" w:styleId="17">
    <w:name w:val="样式 43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">
    <w:name w:val="样式 26 三号1"/>
    <w:autoRedefine/>
    <w:pPr>
      <w:spacing w:line="594" w:lineRule="exact"/>
    </w:pPr>
    <w:rPr>
      <w:rFonts w:ascii="等线" w:eastAsia="方正仿宋简体" w:cs="Arial" w:hAnsi="等线"/>
      <w:kern w:val="2"/>
      <w:sz w:val="32"/>
      <w:szCs w:val="22"/>
      <w:lang w:val="en-US" w:eastAsia="zh-CN" w:bidi="ar-SA"/>
    </w:rPr>
  </w:style>
  <w:style w:type="paragraph" w:customStyle="1" w:styleId="19">
    <w:name w:val="样式 4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">
    <w:name w:val="样式 162 10 磅"/>
    <w:autoRedefine/>
    <w:next w:val="21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21">
    <w:name w:val="样式 97 10 磅"/>
    <w:autoRedefine/>
    <w:next w:val="22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156 10 磅"/>
    <w:next w:val="23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103 10 磅"/>
    <w:autoRedefine/>
    <w:next w:val="24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151 10 磅"/>
    <w:autoRedefine/>
    <w:next w:val="25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109 10 磅"/>
    <w:autoRedefine/>
    <w:next w:val="26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3 三号"/>
    <w:autoRedefine/>
    <w:next w:val="27"/>
    <w:rPr>
      <w:rFonts w:ascii="方正楷体_GBK" w:eastAsia="宋体" w:cs="方正楷体_GBK" w:hAnsi="方正楷体_GBK"/>
      <w:b/>
      <w:color w:val="000000"/>
      <w:sz w:val="32"/>
      <w:szCs w:val="32"/>
      <w:lang w:val="en-US" w:eastAsia="zh-CN" w:bidi="ar-SA"/>
    </w:rPr>
  </w:style>
  <w:style w:type="paragraph" w:customStyle="1" w:styleId="27">
    <w:name w:val="样式 114 10 磅"/>
    <w:autoRedefine/>
    <w:next w:val="28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28">
    <w:name w:val="样式 142 10 磅"/>
    <w:autoRedefine/>
    <w:next w:val="29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29">
    <w:name w:val="样式 120 10 磅"/>
    <w:autoRedefine/>
    <w:next w:val="30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30">
    <w:name w:val="样式 174 10 磅"/>
    <w:autoRedefine/>
    <w:next w:val="3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85 10 磅"/>
    <w:autoRedefine/>
    <w:next w:val="32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2">
    <w:name w:val="公式样式 函数"/>
    <w:autoRedefine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3">
    <w:name w:val="样式 161 10 磅"/>
    <w:next w:val="34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34">
    <w:name w:val="样式 98 10 磅"/>
    <w:autoRedefine/>
    <w:next w:val="35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35">
    <w:name w:val="样式 155 10 磅"/>
    <w:autoRedefine/>
    <w:next w:val="36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104 10 磅"/>
    <w:next w:val="37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37">
    <w:name w:val="样式 5 三号"/>
    <w:autoRedefine/>
    <w:next w:val="38"/>
    <w:rPr>
      <w:rFonts w:ascii="方正楷体_GBK" w:eastAsia="宋体" w:cs="方正楷体_GBK" w:hAnsi="方正楷体_GBK"/>
      <w:b/>
      <w:color w:val="000000"/>
      <w:sz w:val="32"/>
      <w:szCs w:val="32"/>
      <w:lang w:val="en-US" w:eastAsia="zh-CN" w:bidi="ar-SA"/>
    </w:rPr>
  </w:style>
  <w:style w:type="paragraph" w:customStyle="1" w:styleId="38">
    <w:name w:val="样式 108 10 磅"/>
    <w:autoRedefine/>
    <w:next w:val="39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39">
    <w:name w:val="样式 147 10 磅"/>
    <w:autoRedefine/>
    <w:next w:val="4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">
    <w:name w:val="样式 115 10 磅"/>
    <w:autoRedefine/>
    <w:next w:val="4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">
    <w:name w:val="样式 164 10 磅"/>
    <w:autoRedefine/>
    <w:next w:val="42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95 10 磅"/>
    <w:autoRedefine/>
    <w:next w:val="43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3">
    <w:name w:val="样式 159 10 磅"/>
    <w:autoRedefine/>
    <w:next w:val="44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44">
    <w:name w:val="样式 100 10 磅"/>
    <w:autoRedefine/>
    <w:next w:val="45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45">
    <w:name w:val="样式 6 三号"/>
    <w:autoRedefine/>
    <w:next w:val="46"/>
    <w:rPr>
      <w:rFonts w:ascii="方正楷体_GBK" w:eastAsia="宋体" w:cs="方正楷体_GBK" w:hAnsi="方正楷体_GBK"/>
      <w:b/>
      <w:color w:val="000000"/>
      <w:sz w:val="32"/>
      <w:szCs w:val="32"/>
      <w:lang w:val="en-US" w:eastAsia="zh-CN" w:bidi="ar-SA"/>
    </w:rPr>
  </w:style>
  <w:style w:type="paragraph" w:customStyle="1" w:styleId="46">
    <w:name w:val="样式 2 三号"/>
    <w:next w:val="47"/>
    <w:rPr>
      <w:rFonts w:ascii="方正仿宋_GBK" w:eastAsia="方正仿宋_GBK" w:cs="方正仿宋_GBK"/>
      <w:color w:val="000000"/>
      <w:sz w:val="32"/>
      <w:szCs w:val="32"/>
      <w:lang w:val="en-US" w:eastAsia="zh-CN" w:bidi="ar-SA"/>
    </w:rPr>
  </w:style>
  <w:style w:type="paragraph" w:customStyle="1" w:styleId="47">
    <w:name w:val="样式 149 10 磅"/>
    <w:autoRedefine/>
    <w:next w:val="48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8">
    <w:name w:val="样式 112 10 磅"/>
    <w:autoRedefine/>
    <w:next w:val="49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49">
    <w:name w:val="样式 143 10 磅"/>
    <w:autoRedefine/>
    <w:next w:val="5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0">
    <w:name w:val="样式 119 10 磅"/>
    <w:autoRedefine/>
    <w:next w:val="5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1">
    <w:name w:val="样式 173 10 磅"/>
    <w:autoRedefine/>
    <w:next w:val="52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2">
    <w:name w:val="样式 86 10 磅"/>
    <w:next w:val="53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53">
    <w:name w:val="公式样式 变量"/>
    <w:autoRedefine/>
    <w:rPr>
      <w:rFonts w:ascii="Times New Roman" w:eastAsia="宋体" w:cs="Times New Roman" w:hAnsi="Times New Roman"/>
      <w:i/>
      <w:sz w:val="20"/>
      <w:szCs w:val="20"/>
      <w:lang w:val="en-US" w:eastAsia="zh-CN" w:bidi="ar-SA"/>
    </w:rPr>
  </w:style>
  <w:style w:type="paragraph" w:customStyle="1" w:styleId="54">
    <w:name w:val="样式 41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55">
    <w:name w:val="样式 10 磅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56">
    <w:name w:val="样式 42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57">
    <w:name w:val="样式 1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58">
    <w:name w:val="样式 43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9">
    <w:name w:val="样式 2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0">
    <w:name w:val="样式 8 三号"/>
    <w:autoRedefine/>
    <w:rPr>
      <w:rFonts w:ascii="方正楷体_GBK" w:eastAsia="宋体" w:cs="方正楷体_GBK" w:hAnsi="方正楷体_GBK"/>
      <w:b/>
      <w:color w:val="000000"/>
      <w:sz w:val="32"/>
      <w:szCs w:val="32"/>
      <w:lang w:val="en-US" w:eastAsia="zh-CN" w:bidi="ar-SA"/>
    </w:rPr>
  </w:style>
  <w:style w:type="paragraph" w:customStyle="1" w:styleId="61">
    <w:name w:val="样式 3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2">
    <w:name w:val="样式 45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3">
    <w:name w:val="样式 9 三号"/>
    <w:autoRedefine/>
    <w:rPr>
      <w:rFonts w:ascii="方正楷体_GBK" w:eastAsia="宋体" w:cs="方正楷体_GBK" w:hAnsi="方正楷体_GBK"/>
      <w:b/>
      <w:color w:val="000000"/>
      <w:sz w:val="32"/>
      <w:szCs w:val="32"/>
      <w:lang w:val="en-US" w:eastAsia="zh-CN" w:bidi="ar-SA"/>
    </w:rPr>
  </w:style>
  <w:style w:type="paragraph" w:customStyle="1" w:styleId="64">
    <w:name w:val="样式 4 10 磅"/>
    <w:autoRedefine/>
    <w:next w:val="19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65">
    <w:name w:val="样式 47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6">
    <w:name w:val="样式 11 三号"/>
    <w:autoRedefine/>
    <w:rPr>
      <w:rFonts w:ascii="方正楷体_GBK" w:eastAsia="宋体" w:cs="方正楷体_GBK" w:hAnsi="方正楷体_GBK"/>
      <w:b/>
      <w:color w:val="000000"/>
      <w:sz w:val="32"/>
      <w:szCs w:val="32"/>
      <w:lang w:val="en-US" w:eastAsia="zh-CN" w:bidi="ar-SA"/>
    </w:rPr>
  </w:style>
  <w:style w:type="paragraph" w:customStyle="1" w:styleId="67">
    <w:name w:val="样式 7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68">
    <w:name w:val="样式 48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69">
    <w:name w:val="样式 8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70">
    <w:name w:val="样式 49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1">
    <w:name w:val="样式 9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72">
    <w:name w:val="样式 53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3">
    <w:name w:val="样式 10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74">
    <w:name w:val="样式 11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75">
    <w:name w:val="样式 60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6">
    <w:name w:val="样式 12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77">
    <w:name w:val="样式 213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8">
    <w:name w:val="样式 61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79">
    <w:name w:val="样式 13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80">
    <w:name w:val="样式 63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1">
    <w:name w:val="样式 15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82">
    <w:name w:val="样式 62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3">
    <w:name w:val="样式 14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84">
    <w:name w:val="样式 16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85">
    <w:name w:val="样式 65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6">
    <w:name w:val="样式 66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7">
    <w:name w:val="样式 18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88">
    <w:name w:val="样式 67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89">
    <w:name w:val="样式 19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90">
    <w:name w:val="样式 69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1">
    <w:name w:val="样式 68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2">
    <w:name w:val="样式 20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93">
    <w:name w:val="样式 21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94">
    <w:name w:val="样式 70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5">
    <w:name w:val="样式 22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96">
    <w:name w:val="样式 71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7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8">
    <w:name w:val="样式 23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99">
    <w:name w:val="样式 24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00">
    <w:name w:val="样式 73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1">
    <w:name w:val="样式 25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02">
    <w:name w:val="样式 74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3">
    <w:name w:val="样式 26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04">
    <w:name w:val="样式 75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5">
    <w:name w:val="样式 27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06">
    <w:name w:val="样式 77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7">
    <w:name w:val="样式 29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08">
    <w:name w:val="样式 78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9">
    <w:name w:val="样式 30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10">
    <w:name w:val="样式 79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1">
    <w:name w:val="样式 31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12">
    <w:name w:val="样式 80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3">
    <w:name w:val="样式 32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14">
    <w:name w:val="样式 141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5">
    <w:name w:val="样式 34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16">
    <w:name w:val="样式 35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17">
    <w:name w:val="样式 157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8">
    <w:name w:val="样式 36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19">
    <w:name w:val="样式 38 10 磅"/>
    <w:autoRedefine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customStyle="1" w:styleId="120">
    <w:name w:val="样式 3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121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2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3">
    <w:name w:val="样式 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24">
    <w:name w:val="toc 5"/>
    <w:basedOn w:val="0"/>
    <w:autoRedefine/>
    <w:next w:val="0"/>
    <w:pPr>
      <w:ind w:left="1680"/>
    </w:pPr>
  </w:style>
  <w:style w:type="paragraph" w:styleId="12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customStyle="1" w:styleId="126">
    <w:name w:val="样式 74 三号"/>
    <w:next w:val="106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7">
    <w:name w:val="样式 4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8">
    <w:name w:val="样式 10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9">
    <w:name w:val="样式 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12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1">
    <w:name w:val="样式 96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2">
    <w:name w:val="样式 1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3">
    <w:name w:val="样式 13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4">
    <w:name w:val="样式 14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5">
    <w:name w:val="样式 15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6">
    <w:name w:val="样式 16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7">
    <w:name w:val="样式 108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8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17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0">
    <w:name w:val="样式 18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1">
    <w:name w:val="样式 19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2">
    <w:name w:val="样式 3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3">
    <w:name w:val="样式 20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4">
    <w:name w:val="样式 21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5">
    <w:name w:val="样式 3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3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47">
    <w:name w:val="样式 22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8">
    <w:name w:val="样式 23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9">
    <w:name w:val="样式 24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0">
    <w:name w:val="样式 25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1">
    <w:name w:val="样式 26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2">
    <w:name w:val="样式 4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53">
    <w:name w:val="样式 27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4">
    <w:name w:val="样式 28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5">
    <w:name w:val="样式 29 三号"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6">
    <w:name w:val="样式 30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7">
    <w:name w:val="样式 31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58">
    <w:name w:val="样式 4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59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customStyle="1" w:styleId="160">
    <w:name w:val="样式 5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1">
    <w:name w:val="样式 5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2">
    <w:name w:val="样式 32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63">
    <w:name w:val="样式 33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64">
    <w:name w:val="样式 35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65">
    <w:name w:val="样式 36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66">
    <w:name w:val="样式 37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67">
    <w:name w:val="样式 38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68">
    <w:name w:val="样式 39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69">
    <w:name w:val="样式 40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70">
    <w:name w:val="样式 41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71">
    <w:name w:val="样式 42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72">
    <w:name w:val="样式 44 三号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834</TotalTime>
  <Application>Yozo_Office</Application>
  <Pages>1</Pages>
  <Words>39</Words>
  <Characters>41</Characters>
  <Lines>2</Lines>
  <Paragraphs>2</Paragraphs>
  <CharactersWithSpaces>41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刘欣棉（外部)</cp:lastModifiedBy>
  <cp:revision>0</cp:revision>
  <cp:lastPrinted>2024-08-01T01:35:23Z</cp:lastPrinted>
  <dcterms:created xsi:type="dcterms:W3CDTF">2024-06-04T02:25:00Z</dcterms:created>
  <dcterms:modified xsi:type="dcterms:W3CDTF">2025-01-03T00:56:41Z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2052-12.1.0.16399</vt:lpwstr>
  </property>
  <property fmtid="{D5CDD505-2E9C-101B-9397-08002B2CF9AE}" pid="3" name="ICV">
    <vt:lpwstr>7FD02B0BDE15411DA1944D1F0C68CA6D_13</vt:lpwstr>
  </property>
</Properties>
</file>