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方正小标宋_GBK" w:eastAsia="方正小标宋_GBK"/>
          <w:sz w:val="44"/>
          <w:szCs w:val="44"/>
        </w:rPr>
      </w:pPr>
      <w:r>
        <w:rPr>
          <w:rFonts w:ascii="方正小标宋_GBK" w:eastAsia="方正小标宋_GBK" w:hint="eastAsia"/>
          <w:sz w:val="44"/>
          <w:szCs w:val="44"/>
        </w:rPr>
        <w:t>需</w:t>
      </w:r>
      <w:r>
        <w:rPr>
          <w:rFonts w:ascii="方正小标宋_GBK" w:eastAsia="方正小标宋_GBK"/>
          <w:sz w:val="44"/>
          <w:szCs w:val="44"/>
        </w:rPr>
        <w:t>提供</w:t>
      </w:r>
      <w:r>
        <w:rPr>
          <w:rFonts w:ascii="方正小标宋_GBK" w:eastAsia="方正小标宋_GBK" w:hint="eastAsia"/>
          <w:sz w:val="44"/>
          <w:szCs w:val="44"/>
        </w:rPr>
        <w:t>官方推荐注册函的食品目录</w:t>
      </w:r>
    </w:p>
    <w:p>
      <w:pPr>
        <w:jc w:val="center"/>
        <w:rPr>
          <w:rFonts w:ascii="方正小标宋_GBK" w:eastAsia="方正小标宋_GBK"/>
          <w:sz w:val="44"/>
          <w:szCs w:val="44"/>
        </w:rPr>
      </w:pPr>
      <w:r>
        <w:rPr>
          <w:rFonts w:ascii="方正小标宋_GBK" w:eastAsia="方正小标宋_GBK" w:hint="eastAsia"/>
          <w:sz w:val="44"/>
          <w:szCs w:val="44"/>
        </w:rPr>
        <w:t>（征求意见稿）</w:t>
      </w:r>
    </w:p>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89"/>
        <w:gridCol w:w="4744"/>
        <w:gridCol w:w="2564"/>
      </w:tblGrid>
      <w:tr>
        <w:tc>
          <w:tcPr>
            <w:tcW w:w="989" w:type="dxa"/>
          </w:tcPr>
          <w:p>
            <w:pPr>
              <w:pBdr>
                <w:top w:val="none" w:sz="0" w:space="0" w:color="auto"/>
                <w:left w:val="none" w:sz="0" w:space="0" w:color="auto"/>
                <w:bottom w:val="none" w:sz="0" w:space="0" w:color="auto"/>
                <w:right w:val="none" w:sz="0" w:space="0" w:color="auto"/>
              </w:pBdr>
              <w:jc w:val="center"/>
              <w:rPr>
                <w:rFonts w:ascii="方正黑体_GBK" w:eastAsia="方正黑体_GBK" w:hint="eastAsia"/>
                <w:sz w:val="32"/>
                <w:szCs w:val="32"/>
              </w:rPr>
            </w:pPr>
            <w:r>
              <w:rPr>
                <w:rFonts w:ascii="方正黑体_GBK" w:eastAsia="方正黑体_GBK" w:hint="eastAsia"/>
                <w:sz w:val="32"/>
                <w:szCs w:val="32"/>
              </w:rPr>
              <w:t>序号</w:t>
            </w:r>
          </w:p>
        </w:tc>
        <w:tc>
          <w:tcPr>
            <w:tcW w:w="4744" w:type="dxa"/>
          </w:tcPr>
          <w:p>
            <w:pPr>
              <w:pBdr>
                <w:top w:val="none" w:sz="0" w:space="0" w:color="auto"/>
                <w:left w:val="none" w:sz="0" w:space="0" w:color="auto"/>
                <w:bottom w:val="none" w:sz="0" w:space="0" w:color="auto"/>
                <w:right w:val="none" w:sz="0" w:space="0" w:color="auto"/>
              </w:pBdr>
              <w:jc w:val="center"/>
              <w:rPr>
                <w:rFonts w:ascii="方正黑体_GBK" w:eastAsia="方正黑体_GBK" w:hint="eastAsia"/>
                <w:sz w:val="32"/>
                <w:szCs w:val="32"/>
              </w:rPr>
            </w:pPr>
            <w:r>
              <w:rPr>
                <w:rFonts w:ascii="方正黑体_GBK" w:eastAsia="方正黑体_GBK" w:hint="eastAsia"/>
                <w:sz w:val="32"/>
                <w:szCs w:val="32"/>
              </w:rPr>
              <w:t>产品类别</w:t>
            </w:r>
          </w:p>
        </w:tc>
        <w:tc>
          <w:tcPr>
            <w:tcW w:w="2564" w:type="dxa"/>
          </w:tcPr>
          <w:p>
            <w:pPr>
              <w:pBdr>
                <w:top w:val="none" w:sz="0" w:space="0" w:color="auto"/>
                <w:left w:val="none" w:sz="0" w:space="0" w:color="auto"/>
                <w:bottom w:val="none" w:sz="0" w:space="0" w:color="auto"/>
                <w:right w:val="none" w:sz="0" w:space="0" w:color="auto"/>
              </w:pBdr>
              <w:jc w:val="center"/>
              <w:rPr>
                <w:rFonts w:ascii="方正黑体_GBK" w:eastAsia="方正黑体_GBK" w:hint="eastAsia"/>
                <w:sz w:val="32"/>
                <w:szCs w:val="32"/>
              </w:rPr>
            </w:pPr>
            <w:r>
              <w:rPr>
                <w:rFonts w:ascii="方正黑体_GBK" w:eastAsia="方正黑体_GBK" w:hint="eastAsia"/>
                <w:sz w:val="32"/>
                <w:szCs w:val="32"/>
              </w:rPr>
              <w:t>备注</w:t>
            </w: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1</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肉类及其制品</w:t>
            </w:r>
          </w:p>
        </w:tc>
        <w:tc>
          <w:tcPr>
            <w:tcW w:w="2564" w:type="dxa"/>
            <w:vMerge w:val="restart"/>
            <w:vAlign w:val="center"/>
          </w:tcPr>
          <w:p>
            <w:pPr>
              <w:pBdr>
                <w:top w:val="none" w:sz="0" w:space="0" w:color="auto"/>
                <w:left w:val="none" w:sz="0" w:space="0" w:color="auto"/>
                <w:bottom w:val="none" w:sz="0" w:space="0" w:color="auto"/>
                <w:right w:val="none" w:sz="0" w:space="0" w:color="auto"/>
              </w:pBdr>
              <w:jc w:val="left"/>
              <w:rPr>
                <w:rFonts w:ascii="方正仿宋_GBK" w:eastAsia="方正仿宋_GBK"/>
                <w:sz w:val="32"/>
                <w:szCs w:val="32"/>
              </w:rPr>
            </w:pPr>
            <w:r>
              <w:rPr>
                <w:rFonts w:ascii="方正仿宋_GBK" w:eastAsia="方正仿宋_GBK"/>
                <w:sz w:val="32"/>
                <w:szCs w:val="32"/>
              </w:rPr>
              <w:t>各类产品风险评估材料见附表。</w:t>
            </w: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2</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肠衣</w:t>
            </w:r>
          </w:p>
        </w:tc>
        <w:tc>
          <w:tcPr>
            <w:tcW w:w="2766" w:type="dxa"/>
            <w:vMerge/>
          </w:tcP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3</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燕窝与燕窝制品</w:t>
            </w:r>
          </w:p>
        </w:tc>
        <w:tc>
          <w:tcPr>
            <w:tcW w:w="2766" w:type="dxa"/>
            <w:vMerge/>
          </w:tcP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4</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蛋与蛋制品</w:t>
            </w:r>
          </w:p>
        </w:tc>
        <w:tc>
          <w:tcPr>
            <w:tcW w:w="2766" w:type="dxa"/>
            <w:vMerge/>
          </w:tcP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5</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包馅面食</w:t>
            </w:r>
          </w:p>
        </w:tc>
        <w:tc>
          <w:tcPr>
            <w:tcW w:w="2766" w:type="dxa"/>
            <w:vMerge/>
          </w:tcP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6</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大米</w:t>
            </w:r>
          </w:p>
        </w:tc>
        <w:tc>
          <w:tcPr>
            <w:tcW w:w="2766" w:type="dxa"/>
            <w:vMerge/>
          </w:tcP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7</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谷物制粉工业产品和麦芽</w:t>
            </w:r>
          </w:p>
        </w:tc>
        <w:tc>
          <w:tcPr>
            <w:tcW w:w="2564" w:type="dxa"/>
            <w:vMerge/>
          </w:tcP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8</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坚果与籽类</w:t>
            </w:r>
          </w:p>
        </w:tc>
        <w:tc>
          <w:tcPr>
            <w:tcW w:w="2564" w:type="dxa"/>
            <w:vMerge/>
          </w:tcP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9</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干果</w:t>
            </w:r>
          </w:p>
        </w:tc>
        <w:tc>
          <w:tcPr>
            <w:tcW w:w="2564" w:type="dxa"/>
            <w:vMerge/>
          </w:tcP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10</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乳制品</w:t>
            </w:r>
          </w:p>
        </w:tc>
        <w:tc>
          <w:tcPr>
            <w:tcW w:w="2564" w:type="dxa"/>
            <w:vMerge/>
          </w:tcPr>
          <w:p/>
        </w:tc>
      </w:tr>
      <w:tr>
        <w:trPr>
          <w:trHeight w:val="613"/>
        </w:trPr>
        <w:tc>
          <w:tcPr>
            <w:tcW w:w="989" w:type="dxa"/>
          </w:tcPr>
          <w:p>
            <w:pPr>
              <w:pBdr>
                <w:top w:val="none" w:sz="0" w:space="0" w:color="auto"/>
                <w:left w:val="none" w:sz="0" w:space="0" w:color="auto"/>
                <w:bottom w:val="none" w:sz="0" w:space="0" w:color="auto"/>
                <w:right w:val="none" w:sz="0" w:space="0" w:color="auto"/>
              </w:pBdr>
              <w:jc w:val="center"/>
              <w:rPr>
                <w:rFonts w:eastAsia="方正仿宋_GBK" w:cs="Times New Roman"/>
                <w:sz w:val="32"/>
                <w:szCs w:val="32"/>
              </w:rPr>
            </w:pPr>
            <w:r>
              <w:rPr>
                <w:rFonts w:eastAsia="方正仿宋_GBK" w:cs="Times New Roman"/>
                <w:sz w:val="32"/>
                <w:szCs w:val="32"/>
              </w:rPr>
              <w:t>11</w:t>
            </w:r>
          </w:p>
        </w:tc>
        <w:tc>
          <w:tcPr>
            <w:tcW w:w="4744" w:type="dxa"/>
            <w:tcBorders>
              <w:top w:val="single" w:sz="4" w:space="0" w:color="auto"/>
              <w:left w:val="single" w:sz="4" w:space="0" w:color="auto"/>
              <w:right w:val="single" w:sz="4" w:space="0" w:color="auto"/>
            </w:tcBorders>
          </w:tcPr>
          <w:p>
            <w:pPr>
              <w:pBdr>
                <w:top w:val="none" w:sz="0" w:space="0" w:color="auto"/>
                <w:left w:val="none" w:sz="0" w:space="0" w:color="auto"/>
                <w:bottom w:val="none" w:sz="0" w:space="0" w:color="auto"/>
                <w:right w:val="none" w:sz="0" w:space="0" w:color="auto"/>
              </w:pBdr>
              <w:jc w:val="center"/>
              <w:rPr>
                <w:rFonts w:ascii="方正仿宋_GBK" w:eastAsia="方正仿宋_GBK"/>
                <w:sz w:val="32"/>
                <w:szCs w:val="32"/>
              </w:rPr>
            </w:pPr>
            <w:r>
              <w:rPr>
                <w:rFonts w:ascii="方正仿宋_GBK" w:eastAsia="方正仿宋_GBK"/>
                <w:sz w:val="32"/>
                <w:szCs w:val="32"/>
              </w:rPr>
              <w:t>水产品</w:t>
            </w:r>
          </w:p>
        </w:tc>
        <w:tc>
          <w:tcPr>
            <w:tcW w:w="2564" w:type="dxa"/>
            <w:vMerge/>
          </w:tcPr>
          <w:p/>
        </w:tc>
      </w:tr>
    </w:tbl>
    <w:p>
      <w:pPr>
        <w:rPr>
          <w:rFonts w:ascii="方正仿宋_GBK" w:eastAsia="方正仿宋_GBK"/>
          <w:sz w:val="32"/>
          <w:szCs w:val="32"/>
        </w:rPr>
        <w:sectPr>
          <w:pgSz w:w="11907" w:h="16839"/>
          <w:pgMar w:top="1440" w:right="1800" w:bottom="1440" w:left="1800" w:header="851" w:footer="992" w:gutter="0"/>
          <w:docGrid w:type="lines" w:linePitch="312" w:charSpace="0"/>
        </w:sectPr>
      </w:pPr>
    </w:p>
    <w:p>
      <w:pPr>
        <w:rPr>
          <w:rFonts w:ascii="方正黑体_GBK" w:eastAsia="方正黑体_GBK"/>
          <w:sz w:val="32"/>
          <w:szCs w:val="32"/>
        </w:rPr>
      </w:pPr>
      <w:r>
        <w:rPr>
          <w:rFonts w:ascii="方正黑体_GBK" w:eastAsia="方正黑体_GBK" w:hint="eastAsia"/>
          <w:sz w:val="32"/>
          <w:szCs w:val="32"/>
        </w:rPr>
        <w:t>附表</w:t>
      </w:r>
    </w:p>
    <w:p>
      <w:pPr>
        <w:ind w:firstLineChars="200" w:firstLine="640"/>
        <w:jc w:val="left"/>
        <w:rPr>
          <w:rFonts w:eastAsia="方正仿宋_GBK"/>
          <w:sz w:val="32"/>
          <w:szCs w:val="32"/>
        </w:rPr>
      </w:pPr>
      <w:r>
        <w:rPr>
          <w:rFonts w:eastAsia="方正仿宋_GBK"/>
          <w:sz w:val="32"/>
          <w:szCs w:val="32"/>
        </w:rPr>
        <w:t>列入《需提供官方推荐注册函的食品目录》的产品主要考虑以下三方面因素：</w:t>
      </w:r>
    </w:p>
    <w:p>
      <w:pPr>
        <w:ind w:firstLineChars="200" w:firstLine="640"/>
        <w:jc w:val="left"/>
        <w:rPr>
          <w:rFonts w:eastAsia="方正仿宋_GBK"/>
          <w:sz w:val="32"/>
          <w:szCs w:val="32"/>
        </w:rPr>
      </w:pPr>
      <w:r>
        <w:rPr>
          <w:rFonts w:eastAsia="方正仿宋_GBK"/>
          <w:sz w:val="32"/>
          <w:szCs w:val="32"/>
        </w:rPr>
        <w:t>1. 相关产品食品安全风险高，进口不合格情况显著高于平均水平；</w:t>
      </w:r>
    </w:p>
    <w:p>
      <w:pPr>
        <w:ind w:firstLineChars="200" w:firstLine="640"/>
        <w:jc w:val="left"/>
        <w:rPr>
          <w:rFonts w:eastAsia="方正仿宋_GBK"/>
          <w:sz w:val="32"/>
          <w:szCs w:val="32"/>
        </w:rPr>
      </w:pPr>
      <w:r>
        <w:rPr>
          <w:rFonts w:eastAsia="方正仿宋_GBK"/>
          <w:sz w:val="32"/>
          <w:szCs w:val="32"/>
        </w:rPr>
        <w:t>2. 相关产品类别曾发生重大食品安全事件，社会高度关注；</w:t>
      </w:r>
    </w:p>
    <w:p>
      <w:pPr>
        <w:ind w:firstLineChars="200" w:firstLine="640"/>
        <w:jc w:val="left"/>
        <w:rPr>
          <w:rFonts w:eastAsia="方正仿宋_GBK"/>
          <w:sz w:val="32"/>
          <w:szCs w:val="32"/>
        </w:rPr>
      </w:pPr>
      <w:r>
        <w:rPr>
          <w:rFonts w:eastAsia="方正仿宋_GBK"/>
          <w:sz w:val="32"/>
          <w:szCs w:val="32"/>
        </w:rPr>
        <w:t>3. 遵循国际通行做法。</w:t>
      </w:r>
    </w:p>
    <w:p>
      <w:pPr>
        <w:ind w:firstLineChars="200" w:firstLine="640"/>
        <w:jc w:val="left"/>
        <w:rPr>
          <w:rFonts w:eastAsia="方正仿宋_GBK"/>
          <w:sz w:val="32"/>
          <w:szCs w:val="32"/>
        </w:rPr>
      </w:pPr>
      <w:r>
        <w:rPr>
          <w:rFonts w:eastAsia="方正仿宋_GBK"/>
          <w:sz w:val="32"/>
          <w:szCs w:val="32"/>
        </w:rPr>
        <w:t>各类产品风具体险评估情况如下：</w:t>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6"/>
        <w:gridCol w:w="644"/>
        <w:gridCol w:w="2405"/>
        <w:gridCol w:w="3073"/>
        <w:gridCol w:w="1623"/>
        <w:gridCol w:w="1450"/>
        <w:gridCol w:w="1636"/>
        <w:gridCol w:w="1326"/>
        <w:gridCol w:w="1477"/>
      </w:tblGrid>
      <w:tr>
        <w:trPr>
          <w:tblHeader/>
        </w:trPr>
        <w:tc>
          <w:tcPr>
            <w:tcW w:w="536" w:type="dxa"/>
            <w:vMerge w:val="restart"/>
            <w:noWrap/>
          </w:tcPr>
          <w:p>
            <w:pPr>
              <w:rPr>
                <w:rFonts w:ascii="方正黑体_GBK" w:eastAsia="方正黑体_GBK" w:hint="eastAsia"/>
              </w:rPr>
            </w:pPr>
            <w:r>
              <w:rPr>
                <w:rFonts w:ascii="方正黑体_GBK" w:eastAsia="方正黑体_GBK" w:hint="eastAsia"/>
              </w:rPr>
              <w:t>序号</w:t>
            </w:r>
          </w:p>
        </w:tc>
        <w:tc>
          <w:tcPr>
            <w:tcW w:w="644" w:type="dxa"/>
            <w:vMerge w:val="restart"/>
            <w:noWrap/>
          </w:tcPr>
          <w:p>
            <w:pPr>
              <w:rPr>
                <w:rFonts w:ascii="方正黑体_GBK" w:eastAsia="方正黑体_GBK" w:hint="eastAsia"/>
              </w:rPr>
            </w:pPr>
            <w:r>
              <w:rPr>
                <w:rFonts w:ascii="方正黑体_GBK" w:eastAsia="方正黑体_GBK" w:cs="Lucida Sans" w:hint="eastAsia"/>
              </w:rPr>
              <w:t>产品分类</w:t>
            </w:r>
          </w:p>
        </w:tc>
        <w:tc>
          <w:tcPr>
            <w:tcW w:w="12990" w:type="dxa"/>
            <w:gridSpan w:val="7"/>
            <w:noWrap/>
          </w:tcPr>
          <w:p>
            <w:pPr>
              <w:jc w:val="center"/>
              <w:rPr>
                <w:rFonts w:ascii="方正黑体_GBK" w:eastAsia="方正黑体_GBK" w:hint="eastAsia"/>
              </w:rPr>
            </w:pPr>
            <w:r>
              <w:rPr>
                <w:rFonts w:ascii="方正黑体_GBK" w:eastAsia="方正黑体_GBK" w:hint="eastAsia"/>
              </w:rPr>
              <w:t>风险评估情况</w:t>
            </w:r>
          </w:p>
        </w:tc>
      </w:tr>
      <w:tr>
        <w:trPr>
          <w:tblHeader/>
        </w:trPr>
        <w:tc>
          <w:tcPr>
            <w:tcW w:w="528" w:type="dxa"/>
            <w:vMerge/>
            <w:noWrap/>
          </w:tcPr>
          <w:p/>
        </w:tc>
        <w:tc>
          <w:tcPr>
            <w:tcW w:w="634" w:type="dxa"/>
            <w:vMerge/>
            <w:tcBorders>
              <w:top w:val="single" w:sz="4" w:space="0" w:color="auto"/>
              <w:left w:val="single" w:sz="4" w:space="0" w:color="auto"/>
              <w:right w:val="single" w:sz="4" w:space="0" w:color="auto"/>
            </w:tcBorders>
            <w:noWrap/>
          </w:tcPr>
          <w:p/>
        </w:tc>
        <w:tc>
          <w:tcPr>
            <w:tcW w:w="2405" w:type="dxa"/>
            <w:tcBorders>
              <w:top w:val="single" w:sz="4" w:space="0" w:color="auto"/>
              <w:left w:val="single" w:sz="4" w:space="0" w:color="auto"/>
              <w:right w:val="single" w:sz="4" w:space="0" w:color="auto"/>
            </w:tcBorders>
            <w:noWrap/>
          </w:tcPr>
          <w:p>
            <w:pPr>
              <w:jc w:val="center"/>
              <w:rPr>
                <w:rFonts w:ascii="方正黑体_GBK" w:eastAsia="方正黑体_GBK" w:hint="eastAsia"/>
              </w:rPr>
            </w:pPr>
            <w:r>
              <w:rPr>
                <w:rFonts w:ascii="方正黑体_GBK" w:eastAsia="方正黑体_GBK" w:hint="eastAsia"/>
              </w:rPr>
              <w:t>原料来源</w:t>
            </w:r>
          </w:p>
        </w:tc>
        <w:tc>
          <w:tcPr>
            <w:tcW w:w="3073" w:type="dxa"/>
            <w:tcBorders>
              <w:top w:val="single" w:sz="4" w:space="0" w:color="auto"/>
              <w:left w:val="single" w:sz="4" w:space="0" w:color="auto"/>
              <w:right w:val="single" w:sz="4" w:space="0" w:color="auto"/>
            </w:tcBorders>
            <w:noWrap/>
          </w:tcPr>
          <w:p>
            <w:pPr>
              <w:jc w:val="center"/>
              <w:rPr>
                <w:rFonts w:ascii="方正黑体_GBK" w:eastAsia="方正黑体_GBK" w:hint="eastAsia"/>
              </w:rPr>
            </w:pPr>
            <w:r>
              <w:rPr>
                <w:rFonts w:ascii="方正黑体_GBK" w:eastAsia="方正黑体_GBK" w:hint="eastAsia"/>
              </w:rPr>
              <w:t>生产加工工艺</w:t>
            </w:r>
          </w:p>
        </w:tc>
        <w:tc>
          <w:tcPr>
            <w:tcW w:w="1623" w:type="dxa"/>
            <w:tcBorders>
              <w:top w:val="single" w:sz="4" w:space="0" w:color="auto"/>
              <w:left w:val="single" w:sz="4" w:space="0" w:color="auto"/>
              <w:right w:val="single" w:sz="4" w:space="0" w:color="auto"/>
            </w:tcBorders>
            <w:noWrap/>
          </w:tcPr>
          <w:p>
            <w:pPr>
              <w:jc w:val="center"/>
              <w:rPr>
                <w:rFonts w:ascii="方正黑体_GBK" w:eastAsia="方正黑体_GBK" w:hint="eastAsia"/>
              </w:rPr>
            </w:pPr>
            <w:r>
              <w:rPr>
                <w:rFonts w:ascii="方正黑体_GBK" w:eastAsia="方正黑体_GBK" w:hint="eastAsia"/>
              </w:rPr>
              <w:t>运输存储过程</w:t>
            </w:r>
          </w:p>
        </w:tc>
        <w:tc>
          <w:tcPr>
            <w:tcW w:w="1450" w:type="dxa"/>
            <w:tcBorders>
              <w:top w:val="single" w:sz="4" w:space="0" w:color="auto"/>
              <w:left w:val="single" w:sz="4" w:space="0" w:color="auto"/>
              <w:right w:val="single" w:sz="4" w:space="0" w:color="auto"/>
            </w:tcBorders>
            <w:noWrap/>
          </w:tcPr>
          <w:p>
            <w:pPr>
              <w:jc w:val="center"/>
              <w:rPr>
                <w:rFonts w:ascii="方正黑体_GBK" w:eastAsia="方正黑体_GBK" w:hint="eastAsia"/>
              </w:rPr>
            </w:pPr>
            <w:r>
              <w:rPr>
                <w:rFonts w:ascii="方正黑体_GBK" w:eastAsia="方正黑体_GBK" w:hint="eastAsia"/>
              </w:rPr>
              <w:t>历史数据</w:t>
            </w:r>
          </w:p>
        </w:tc>
        <w:tc>
          <w:tcPr>
            <w:tcW w:w="1636" w:type="dxa"/>
            <w:tcBorders>
              <w:top w:val="single" w:sz="4" w:space="0" w:color="auto"/>
              <w:left w:val="single" w:sz="4" w:space="0" w:color="auto"/>
              <w:right w:val="single" w:sz="4" w:space="0" w:color="auto"/>
            </w:tcBorders>
            <w:noWrap/>
          </w:tcPr>
          <w:p>
            <w:pPr>
              <w:jc w:val="center"/>
              <w:rPr>
                <w:rFonts w:ascii="方正黑体_GBK" w:eastAsia="方正黑体_GBK" w:hint="eastAsia"/>
              </w:rPr>
            </w:pPr>
            <w:r>
              <w:rPr>
                <w:rFonts w:ascii="方正黑体_GBK" w:eastAsia="方正黑体_GBK" w:hint="eastAsia"/>
              </w:rPr>
              <w:t>消费人群</w:t>
            </w:r>
          </w:p>
        </w:tc>
        <w:tc>
          <w:tcPr>
            <w:tcW w:w="1326" w:type="dxa"/>
            <w:tcBorders>
              <w:top w:val="single" w:sz="4" w:space="0" w:color="auto"/>
              <w:left w:val="single" w:sz="4" w:space="0" w:color="auto"/>
              <w:right w:val="single" w:sz="4" w:space="0" w:color="auto"/>
            </w:tcBorders>
            <w:noWrap/>
          </w:tcPr>
          <w:p>
            <w:pPr>
              <w:jc w:val="center"/>
              <w:rPr>
                <w:rFonts w:ascii="方正黑体_GBK" w:eastAsia="方正黑体_GBK" w:hint="eastAsia"/>
              </w:rPr>
            </w:pPr>
            <w:r>
              <w:rPr>
                <w:rFonts w:ascii="方正黑体_GBK" w:eastAsia="方正黑体_GBK" w:hint="eastAsia"/>
              </w:rPr>
              <w:t>食用方式</w:t>
            </w:r>
          </w:p>
        </w:tc>
        <w:tc>
          <w:tcPr>
            <w:tcW w:w="1477" w:type="dxa"/>
            <w:noWrap/>
          </w:tcPr>
          <w:p>
            <w:pPr>
              <w:jc w:val="center"/>
              <w:rPr>
                <w:rFonts w:ascii="方正黑体_GBK" w:eastAsia="方正黑体_GBK" w:hint="eastAsia"/>
              </w:rPr>
            </w:pPr>
            <w:r>
              <w:rPr>
                <w:rFonts w:ascii="方正黑体_GBK" w:eastAsia="方正黑体_GBK" w:hint="eastAsia"/>
              </w:rPr>
              <w:t>国际惯例</w:t>
            </w:r>
          </w:p>
        </w:tc>
      </w:tr>
      <w:tr>
        <w:tc>
          <w:tcPr>
            <w:tcW w:w="536" w:type="dxa"/>
            <w:noWrap/>
          </w:tcPr>
          <w:p>
            <w:r>
              <w:t>1</w:t>
            </w:r>
          </w:p>
        </w:tc>
        <w:tc>
          <w:tcPr>
            <w:tcW w:w="644" w:type="dxa"/>
            <w:tcBorders>
              <w:top w:val="single" w:sz="4" w:space="0" w:color="auto"/>
              <w:left w:val="single" w:sz="4" w:space="0" w:color="auto"/>
              <w:right w:val="single" w:sz="4" w:space="0" w:color="auto"/>
            </w:tcBorders>
            <w:noWrap/>
          </w:tcPr>
          <w:p>
            <w:r>
              <w:t>肉类及其制品</w:t>
            </w:r>
          </w:p>
        </w:tc>
        <w:tc>
          <w:tcPr>
            <w:tcW w:w="2405" w:type="dxa"/>
            <w:tcBorders>
              <w:top w:val="single" w:sz="4" w:space="0" w:color="auto"/>
              <w:left w:val="single" w:sz="4" w:space="0" w:color="auto"/>
              <w:right w:val="single" w:sz="4" w:space="0" w:color="auto"/>
            </w:tcBorders>
            <w:noWrap/>
          </w:tcPr>
          <w:p>
            <w:r>
              <w:t>肉类及肉制品均以活畜禽为原料，因物种属性不同可以分别携带口蹄疫、猪水疱病、非洲猪瘟、尼帕病毒性脑炎、非洲马瘟、牛海绵状脑病、牛瘟、牛传染性胸膜肺炎、痒病、小反刍兽疫、高致病性禽流感等病原，存在不同程度上传播动物疫情疫病的风险。</w:t>
            </w:r>
          </w:p>
          <w:p>
            <w:r>
              <w:t>（1）冷冻肉，是指在低于-23℃环境下，将肉中心温度降低到≤-15℃的肉。</w:t>
            </w:r>
          </w:p>
          <w:p>
            <w:r>
              <w:t>（2）冰鲜肉，又叫冷鲜肉、冷却肉，是指在良好操作规范和良好卫生条件下，活畜禽屠宰后检验检疫合格，经冷却工艺处理，使肉中心温度降至 0℃-4℃，并在贮运过程中始终保持在0℃-4℃范围内的生鲜肉。</w:t>
            </w:r>
          </w:p>
          <w:p>
            <w:r>
              <w:t>（3）熟肉制品，是指以鲜（冻）畜、禽产品为主要原料加工制成的产品，包括酱卤肉制品类、熏肉类、烧肉类、烤肉类、油炸肉类、西式火腿类、肉灌肠类、发酵肉制品类、熟肉干制品和其他熟肉制品。</w:t>
            </w:r>
          </w:p>
        </w:tc>
        <w:tc>
          <w:tcPr>
            <w:tcW w:w="3073" w:type="dxa"/>
            <w:tcBorders>
              <w:top w:val="single" w:sz="4" w:space="0" w:color="auto"/>
              <w:left w:val="single" w:sz="4" w:space="0" w:color="auto"/>
              <w:right w:val="single" w:sz="4" w:space="0" w:color="auto"/>
            </w:tcBorders>
            <w:noWrap/>
          </w:tcPr>
          <w:p>
            <w:r>
              <w:t>（1）冷冻肉产品加工工艺较为简单，仅进行简单的物理加工，一般包含宰前宰后检验检疫、屠宰加工、清洗去污、冷却加工等工艺，虽然在加工工艺过程中有兽医进行临床检疫，但基本只是简单的表观检查和抽查检验，且整个生产过程和冷冻环境并未能完全去除疫病病原风险，内脏产品风险较肉类产品风险更高，总体加工程度风险为高风险。</w:t>
              <w:br/>
              <w:t>（2）冰鲜肉产品加工工艺较为简单，仅进行简单的物理加工，一般包含宰前宰后检验检疫、屠宰加工、清洗去污、冷却加工等工艺，虽然在加工工艺过程中有兽医进行临床检疫，但基本只是简单的表观检查和抽查检验，且生产过程并未能完全去除疫病病原风险，内脏产品风险较肉类产品风险更高，总体加工程度风险为高风险。</w:t>
              <w:br/>
              <w:t>（3）熟肉制品（袋装）加工工艺相对复杂，是经处理、分选、修整、烹调（或不经烹调）、加热、冷却而制成的具有一定真空度的肉类袋装食品。熟制肉产品（罐头）加工工艺相对复杂，是经处理、分选、修整、烹调（或不经烹调）、装罐（包括马口铁罐、玻璃罐或其他包装材料）、密封、杀菌、冷却而制成的商业无菌的肉类罐装食品。上述熟肉制品一般是在规范的加工厂进行生产，按照生产规范需要验收原料、生产过程质量管控、成品检验等，整个生产过程有加热消毒杀菌环节，能有效去除肉类携带病原风险，在原料来源安全可控和生产规范的前提下，总体加工程度风险为低。</w:t>
              <w:br/>
              <w:t>（4）腌制肉产品加工工艺较为简单，一般进行简单的物理等加工，通常包含清洗、修整、调味、滚揉、搅拌和腌制等工艺，腌制肉产品按照生产规范需要验收原料、生产过程质量管控、成品检验等，生产过程虽然未能完全去除疫病病原风险，但是加工过程中一般在规范的加工厂内进行，通过添加食盐、调味料等物质，部分病原在食盐腌制、干化条件下能失活，在原料来源安全可控的前提下，总体加工程度风险为中。</w:t>
            </w:r>
          </w:p>
        </w:tc>
        <w:tc>
          <w:tcPr>
            <w:tcW w:w="1623" w:type="dxa"/>
            <w:tcBorders>
              <w:top w:val="single" w:sz="4" w:space="0" w:color="auto"/>
              <w:left w:val="single" w:sz="4" w:space="0" w:color="auto"/>
              <w:right w:val="single" w:sz="4" w:space="0" w:color="auto"/>
            </w:tcBorders>
            <w:noWrap/>
          </w:tcPr>
          <w:p>
            <w:r>
              <w:t>肉类产品运输均有严格的温度控制要求，冷冻肉类通常要求-15℃或-18℃以下，冰鲜肉类通常要求0-4℃，熟制肉类和腌制肉类根据加工程度及包装方式的不同，对运输温度要求也不同，通常都需要冷藏或冷冻保存，极少需要常温保存，因此肉类运输过程风险因素相对较高。</w:t>
            </w:r>
          </w:p>
        </w:tc>
        <w:tc>
          <w:tcPr>
            <w:tcW w:w="1450" w:type="dxa"/>
            <w:tcBorders>
              <w:top w:val="single" w:sz="4" w:space="0" w:color="auto"/>
              <w:left w:val="single" w:sz="4" w:space="0" w:color="auto"/>
              <w:right w:val="single" w:sz="4" w:space="0" w:color="auto"/>
            </w:tcBorders>
            <w:noWrap/>
          </w:tcPr>
          <w:p>
            <w:r>
              <w:t>根据2022年1月-2023年12月，进口食品注册企业输华贸易和不符合情况，40个有输华贸易的国家地区中29个存在产品不合格禁止入境情况占72.5%，2236家有输华贸易的肉类企业中227家存在产品不合格禁止入境情况占10.2%。</w:t>
            </w:r>
          </w:p>
        </w:tc>
        <w:tc>
          <w:tcPr>
            <w:tcW w:w="1636" w:type="dxa"/>
            <w:tcBorders>
              <w:top w:val="single" w:sz="4" w:space="0" w:color="auto"/>
              <w:left w:val="single" w:sz="4" w:space="0" w:color="auto"/>
              <w:right w:val="single" w:sz="4" w:space="0" w:color="auto"/>
            </w:tcBorders>
            <w:noWrap/>
          </w:tcPr>
          <w:p>
            <w:r>
              <w:t>肉类消费人群广泛，其质量安全影响范围较大。</w:t>
            </w:r>
          </w:p>
        </w:tc>
        <w:tc>
          <w:tcPr>
            <w:tcW w:w="1326" w:type="dxa"/>
            <w:tcBorders>
              <w:top w:val="single" w:sz="4" w:space="0" w:color="auto"/>
              <w:left w:val="single" w:sz="4" w:space="0" w:color="auto"/>
              <w:right w:val="single" w:sz="4" w:space="0" w:color="auto"/>
            </w:tcBorders>
            <w:noWrap/>
          </w:tcPr>
          <w:p>
            <w:r>
              <w:t>国内对肉类的消费以加工熟制为主，烹饪方式以炒、炖、炸、烤为主，较少生食。进口腌制肉制品中部分可生食，对其质量安全要求较高。</w:t>
            </w:r>
          </w:p>
        </w:tc>
        <w:tc>
          <w:tcPr>
            <w:tcW w:w="1477" w:type="dxa"/>
            <w:noWrap/>
          </w:tcPr>
          <w:p>
            <w:r>
              <w:t>（1）冷冻肉类、冰鲜肉类、腌制肉类美国实施国家准入和企业注册；欧盟实施产品和国家准入、企业注册；澳大利亚实施产品和国家准入（澳方BICON数据库公布），对部分产品实施检疫准入许可，需申请进口许可；日本进口前与出口国家签订双边协议，通关前办理进口许可。（2）熟制肉类美国实施国家准入和企业注册；欧盟实施产品1和国家准入、企业注册；澳大利亚实施产品和国家准入（澳方BICON数据库公布），对部分产品实施检疫准入许可，需申请进口许可；日本进口前与出口国家签订双边协议，对热加工食品企业注册，通关前办理进口许可。</w:t>
            </w:r>
          </w:p>
        </w:tc>
      </w:tr>
      <w:tr>
        <w:tc>
          <w:tcPr>
            <w:tcW w:w="536" w:type="dxa"/>
            <w:tcBorders>
              <w:top w:val="single" w:sz="4" w:space="0" w:color="auto"/>
              <w:left w:val="single" w:sz="4" w:space="0" w:color="auto"/>
              <w:bottom w:val="single" w:sz="4" w:space="0" w:color="auto"/>
              <w:right w:val="single" w:sz="4" w:space="0" w:color="auto"/>
              <w:tl2br w:val="nil"/>
              <w:tr2bl w:val="nil"/>
            </w:tcBorders>
            <w:noWrap/>
          </w:tcPr>
          <w:p>
            <w:r>
              <w:t>2</w:t>
            </w:r>
          </w:p>
        </w:tc>
        <w:tc>
          <w:tcPr>
            <w:tcW w:w="644" w:type="dxa"/>
            <w:tcBorders>
              <w:top w:val="single" w:sz="4" w:space="0" w:color="auto"/>
              <w:left w:val="single" w:sz="4" w:space="0" w:color="auto"/>
              <w:bottom w:val="single" w:sz="4" w:space="0" w:color="auto"/>
              <w:right w:val="single" w:sz="4" w:space="0" w:color="auto"/>
              <w:tl2br w:val="nil"/>
              <w:tr2bl w:val="nil"/>
            </w:tcBorders>
            <w:noWrap/>
          </w:tcPr>
          <w:p>
            <w:r>
              <w:t>肠衣</w:t>
            </w:r>
          </w:p>
        </w:tc>
        <w:tc>
          <w:tcPr>
            <w:tcW w:w="2405" w:type="dxa"/>
            <w:tcBorders>
              <w:top w:val="single" w:sz="4" w:space="0" w:color="auto"/>
              <w:left w:val="single" w:sz="4" w:space="0" w:color="auto"/>
              <w:bottom w:val="single" w:sz="4" w:space="0" w:color="auto"/>
              <w:right w:val="single" w:sz="4" w:space="0" w:color="auto"/>
              <w:tl2br w:val="nil"/>
              <w:tr2bl w:val="nil"/>
            </w:tcBorders>
            <w:noWrap/>
          </w:tcPr>
          <w:p>
            <w:r>
              <w:t>2023年，全国共计进口肠衣10.2万吨，进口猪肠衣（盐渍）6.3万吨，进口绵羊肠衣（盐渍）0.16万吨，进口其他动物肠衣（主要为冷冻绵羊肠衣）3.8万吨。11国家或地区的212家企业已获在华注册，来源国家广泛，企业数量较多。</w:t>
            </w:r>
          </w:p>
        </w:tc>
        <w:tc>
          <w:tcPr>
            <w:tcW w:w="3073" w:type="dxa"/>
            <w:tcBorders>
              <w:top w:val="single" w:sz="4" w:space="0" w:color="auto"/>
              <w:left w:val="single" w:sz="4" w:space="0" w:color="auto"/>
              <w:bottom w:val="single" w:sz="4" w:space="0" w:color="auto"/>
              <w:right w:val="single" w:sz="4" w:space="0" w:color="auto"/>
              <w:tl2br w:val="nil"/>
              <w:tr2bl w:val="nil"/>
            </w:tcBorders>
            <w:noWrap/>
          </w:tcPr>
          <w:p>
            <w:r>
              <w:t>目前，我国进口的肠衣为使用食用盐盐渍工艺（占比63.1%），刮制冷冻工艺（占比36.9%），在生产过程中，盐渍不充分，刮制不规范，特定风险物质去除不完整，均可能存在特定疫病随肠衣产品输入我国的可能。</w:t>
            </w:r>
          </w:p>
        </w:tc>
        <w:tc>
          <w:tcPr>
            <w:tcW w:w="1623" w:type="dxa"/>
            <w:tcBorders>
              <w:top w:val="single" w:sz="4" w:space="0" w:color="auto"/>
              <w:left w:val="single" w:sz="4" w:space="0" w:color="auto"/>
              <w:bottom w:val="single" w:sz="4" w:space="0" w:color="auto"/>
              <w:right w:val="single" w:sz="4" w:space="0" w:color="auto"/>
              <w:tl2br w:val="nil"/>
              <w:tr2bl w:val="nil"/>
            </w:tcBorders>
            <w:noWrap/>
          </w:tcPr>
          <w:p>
            <w:r>
              <w:t>在输运过程中，部分国家出口产品运输需经过第三国，存在疫病交叉传染的风险。在存储过程中，肠衣产品多为塑料桶装或纸箱装载，若仓储管理不规范，输华肠衣与其他产品产品混放，存在疫病交叉传染的风险。</w:t>
            </w:r>
          </w:p>
        </w:tc>
        <w:tc>
          <w:tcPr>
            <w:tcW w:w="1450" w:type="dxa"/>
            <w:tcBorders>
              <w:top w:val="single" w:sz="4" w:space="0" w:color="auto"/>
              <w:left w:val="single" w:sz="4" w:space="0" w:color="auto"/>
              <w:bottom w:val="single" w:sz="4" w:space="0" w:color="auto"/>
              <w:right w:val="single" w:sz="4" w:space="0" w:color="auto"/>
              <w:tl2br w:val="nil"/>
              <w:tr2bl w:val="nil"/>
            </w:tcBorders>
            <w:noWrap/>
          </w:tcPr>
          <w:p>
            <w:r>
              <w:t>2022年1月-2023年12月，在口岸环节查获不合格产品5批次，其中3批次为未获准入的产品入境，1批次为货证不符，1批次为存在检疫性风险的内容物。</w:t>
            </w:r>
          </w:p>
        </w:tc>
        <w:tc>
          <w:tcPr>
            <w:tcW w:w="1636" w:type="dxa"/>
            <w:tcBorders>
              <w:top w:val="single" w:sz="4" w:space="0" w:color="auto"/>
              <w:left w:val="single" w:sz="4" w:space="0" w:color="auto"/>
              <w:bottom w:val="single" w:sz="4" w:space="0" w:color="auto"/>
              <w:right w:val="single" w:sz="4" w:space="0" w:color="auto"/>
              <w:tl2br w:val="nil"/>
              <w:tr2bl w:val="nil"/>
            </w:tcBorders>
            <w:noWrap/>
          </w:tcPr>
          <w:p>
            <w:r>
              <w:t>肠衣主要用于灌制香肠，消费人群广泛。</w:t>
            </w:r>
          </w:p>
        </w:tc>
        <w:tc>
          <w:tcPr>
            <w:tcW w:w="1326" w:type="dxa"/>
            <w:tcBorders>
              <w:top w:val="single" w:sz="4" w:space="0" w:color="auto"/>
              <w:left w:val="single" w:sz="4" w:space="0" w:color="auto"/>
              <w:bottom w:val="single" w:sz="4" w:space="0" w:color="auto"/>
              <w:right w:val="single" w:sz="4" w:space="0" w:color="auto"/>
              <w:tl2br w:val="nil"/>
              <w:tr2bl w:val="nil"/>
            </w:tcBorders>
            <w:noWrap/>
          </w:tcPr>
          <w:p>
            <w:r>
              <w:t>肠衣主要用于灌制香肠，直接入口，安全风险较大。</w:t>
            </w:r>
          </w:p>
        </w:tc>
        <w:tc>
          <w:tcPr>
            <w:tcW w:w="1477" w:type="dxa"/>
            <w:tcBorders>
              <w:top w:val="single" w:sz="4" w:space="0" w:color="auto"/>
              <w:left w:val="single" w:sz="4" w:space="0" w:color="auto"/>
              <w:bottom w:val="single" w:sz="4" w:space="0" w:color="auto"/>
              <w:right w:val="single" w:sz="4" w:space="0" w:color="auto"/>
              <w:tl2br w:val="nil"/>
              <w:tr2bl w:val="nil"/>
            </w:tcBorders>
            <w:noWrap/>
          </w:tcPr>
          <w:p>
            <w:r>
              <w:t>欧盟、美国、日本、英国等国家均需我国对肠衣生产企业进行官方推荐注册。</w:t>
            </w:r>
          </w:p>
        </w:tc>
      </w:tr>
      <w:tr>
        <w:tc>
          <w:tcPr>
            <w:tcW w:w="536" w:type="dxa"/>
            <w:noWrap/>
          </w:tcPr>
          <w:p>
            <w:r>
              <w:t>3</w:t>
            </w:r>
          </w:p>
        </w:tc>
        <w:tc>
          <w:tcPr>
            <w:tcW w:w="644" w:type="dxa"/>
            <w:tcBorders>
              <w:top w:val="single" w:sz="4" w:space="0" w:color="auto"/>
              <w:left w:val="single" w:sz="4" w:space="0" w:color="auto"/>
              <w:right w:val="single" w:sz="4" w:space="0" w:color="auto"/>
            </w:tcBorders>
            <w:noWrap/>
          </w:tcPr>
          <w:p>
            <w:r>
              <w:rPr>
                <w:rFonts w:cs="Lucida Sans"/>
              </w:rPr>
              <w:t>燕窝与燕窝制品</w:t>
            </w:r>
          </w:p>
        </w:tc>
        <w:tc>
          <w:tcPr>
            <w:tcW w:w="2405" w:type="dxa"/>
            <w:tcBorders>
              <w:top w:val="single" w:sz="4" w:space="0" w:color="auto"/>
              <w:left w:val="single" w:sz="4" w:space="0" w:color="auto"/>
              <w:right w:val="single" w:sz="4" w:space="0" w:color="auto"/>
            </w:tcBorders>
            <w:noWrap/>
          </w:tcPr>
          <w:p>
            <w:r>
              <w:t>燕窝与燕窝制品均以金丝燕及同类型燕子唾液为原料，其中，毛燕和食用燕窝存在不同程度上传播禽流感病毒的潜在风险。（一）毛燕是指由金丝燕及同类型燕子唾液形成，经去除粪便、土壤以及一般杂质的初级处理，无霉变，未添加任何物质的产品。毛燕是禽类巢穴，在燕洞或人工燕屋采摘，只经过简单的分选、洗刷、修剪、称重、包装等流程，传播禽流感病毒的潜在风险，风险等级为高。（二）食用燕窝是指在毛燕的基础上，经分拣、用水浸泡、清洁、去除羽毛、重新塑型、加热烘干、分装等工艺制成的燕窝产品，不包括冰糖燕窝等燕窝制品，可有效控制疫情疫病风险，风险等级为中。（三）燕窝制品是指以食用燕窝为原料，或经清理除杂，添加或不添加其他原料，经泡发、炖煮或其他熟制工艺、杀菌、干燥或不干燥等工序加工而制成的食用燕窝投料量不低于1%的可直接食用的产品，传播疫情疫病风险等级较低。</w:t>
            </w:r>
          </w:p>
        </w:tc>
        <w:tc>
          <w:tcPr>
            <w:tcW w:w="3073" w:type="dxa"/>
            <w:tcBorders>
              <w:top w:val="single" w:sz="4" w:space="0" w:color="auto"/>
              <w:left w:val="single" w:sz="4" w:space="0" w:color="auto"/>
              <w:right w:val="single" w:sz="4" w:space="0" w:color="auto"/>
            </w:tcBorders>
            <w:noWrap/>
          </w:tcPr>
          <w:p>
            <w:r>
              <w:t>科学研究表明，燕窝产品天然含有亚硝酸盐，含量与多种因素相关，亚硝酸盐超标存在较大的食品安全风险，需通过执行标准操作程序（SOP），使其终产品的亚硝酸盐含量符合限量要求。同时，需通过“中心温度不低于70℃加热至少3.5秒”的杀灭禽流感病毒的有效加热处理，控制疫情疫病风险。对加工工艺的有效性有较高要求。</w:t>
            </w:r>
          </w:p>
        </w:tc>
        <w:tc>
          <w:tcPr>
            <w:tcW w:w="1623" w:type="dxa"/>
            <w:tcBorders>
              <w:top w:val="single" w:sz="4" w:space="0" w:color="auto"/>
              <w:left w:val="single" w:sz="4" w:space="0" w:color="auto"/>
              <w:right w:val="single" w:sz="4" w:space="0" w:color="auto"/>
            </w:tcBorders>
            <w:noWrap/>
          </w:tcPr>
          <w:p>
            <w:r>
              <w:t>燕窝产品外包装及运输容器经过消毒处理，确保安全、卫生，运输过程风险因素较低。</w:t>
            </w:r>
          </w:p>
        </w:tc>
        <w:tc>
          <w:tcPr>
            <w:tcW w:w="1450" w:type="dxa"/>
            <w:tcBorders>
              <w:top w:val="single" w:sz="4" w:space="0" w:color="auto"/>
              <w:left w:val="single" w:sz="4" w:space="0" w:color="auto"/>
              <w:right w:val="single" w:sz="4" w:space="0" w:color="auto"/>
            </w:tcBorders>
            <w:noWrap/>
          </w:tcPr>
          <w:p>
            <w:r>
              <w:t>2023年，共检出不合格未准入境燕窝产品5批次，不合格总重量125.5千克。不合格原因主要为亚硝酸盐超标、铝超标、感官检查不合格、标签不合格。涉及国家2个，境外注册生产企业5家。</w:t>
            </w:r>
          </w:p>
        </w:tc>
        <w:tc>
          <w:tcPr>
            <w:tcW w:w="1636" w:type="dxa"/>
            <w:tcBorders>
              <w:top w:val="single" w:sz="4" w:space="0" w:color="auto"/>
              <w:left w:val="single" w:sz="4" w:space="0" w:color="auto"/>
              <w:right w:val="single" w:sz="4" w:space="0" w:color="auto"/>
            </w:tcBorders>
            <w:noWrap/>
          </w:tcPr>
          <w:p>
            <w:r>
              <w:t>在消费群体方面，食用燕窝呈现年轻化、大众化趋势，逐渐从高端礼品向自用市场扩张。</w:t>
            </w:r>
          </w:p>
        </w:tc>
        <w:tc>
          <w:tcPr>
            <w:tcW w:w="1326" w:type="dxa"/>
            <w:tcBorders>
              <w:top w:val="single" w:sz="4" w:space="0" w:color="auto"/>
              <w:left w:val="single" w:sz="4" w:space="0" w:color="auto"/>
              <w:right w:val="single" w:sz="4" w:space="0" w:color="auto"/>
            </w:tcBorders>
            <w:noWrap/>
          </w:tcPr>
          <w:p>
            <w:r>
              <w:t>2023年，干燕窝、即食燕窝和鲜炖燕窝分别占全部消费总量的40%、40%和20%。</w:t>
            </w:r>
          </w:p>
        </w:tc>
        <w:tc>
          <w:tcPr>
            <w:tcW w:w="1477" w:type="dxa"/>
            <w:noWrap/>
          </w:tcPr>
          <w:p>
            <w:r>
              <w:t>受饮食文化影响，燕窝产品主要市场为中国及华人聚集区。</w:t>
            </w:r>
          </w:p>
        </w:tc>
      </w:tr>
      <w:tr>
        <w:tc>
          <w:tcPr>
            <w:tcW w:w="536" w:type="dxa"/>
            <w:noWrap/>
          </w:tcPr>
          <w:p>
            <w:r>
              <w:t>4</w:t>
            </w:r>
          </w:p>
        </w:tc>
        <w:tc>
          <w:tcPr>
            <w:tcW w:w="644" w:type="dxa"/>
            <w:tcBorders>
              <w:top w:val="single" w:sz="4" w:space="0" w:color="auto"/>
              <w:left w:val="single" w:sz="4" w:space="0" w:color="auto"/>
              <w:right w:val="single" w:sz="4" w:space="0" w:color="auto"/>
            </w:tcBorders>
            <w:noWrap/>
          </w:tcPr>
          <w:p>
            <w:r>
              <w:rPr>
                <w:rFonts w:cs="Lucida Sans"/>
              </w:rPr>
              <w:t>蛋与蛋制品</w:t>
            </w:r>
          </w:p>
        </w:tc>
        <w:tc>
          <w:tcPr>
            <w:tcW w:w="2405" w:type="dxa"/>
            <w:tcBorders>
              <w:top w:val="single" w:sz="4" w:space="0" w:color="auto"/>
              <w:left w:val="single" w:sz="4" w:space="0" w:color="auto"/>
              <w:right w:val="single" w:sz="4" w:space="0" w:color="auto"/>
            </w:tcBorders>
            <w:noWrap/>
          </w:tcPr>
          <w:p>
            <w:r>
              <w:t>蛋与蛋制品均以鲜蛋为原料，因物种属性不同可禽流感病毒、新城疫病毒等病原，存在不同程度上传播动物疫情疫病的风险。（1）鲜蛋，指各种家禽生产的、未经加工或仅用冷藏法、液浸法、涂膜法、消毒法、气调法、干藏法等贮藏方法处理的带壳蛋。    （2）蛋制品主要包括液蛋制品、干蛋制品、冰蛋制品、再制蛋等。液蛋制品：以鲜蛋为原料，经去壳、加工处理后制成的蛋制品，如全蛋液、蛋黄液、蛋白液等。干蛋制品：以鲜蛋为原料，经去壳、加工处理、脱糖、干燥等工艺制成的蛋制品，如全蛋粉、蛋黄粉、蛋白粉等。冰蛋制品：以鲜蛋为原料，经去壳、加工处理、冷冻等工艺制成的蛋制品，如冰全蛋、冰蛋黄、冰蛋白等。再制蛋：以鲜蛋为原料，添加或不添加辅料，经过盐、碱、糟、卤、等不同工艺加工而成的蛋制品，如皮蛋、咸蛋、咸蛋黄、糟蛋、卤蛋等。</w:t>
            </w:r>
          </w:p>
        </w:tc>
        <w:tc>
          <w:tcPr>
            <w:tcW w:w="3073" w:type="dxa"/>
            <w:tcBorders>
              <w:top w:val="single" w:sz="4" w:space="0" w:color="auto"/>
              <w:left w:val="single" w:sz="4" w:space="0" w:color="auto"/>
              <w:right w:val="single" w:sz="4" w:space="0" w:color="auto"/>
            </w:tcBorders>
            <w:noWrap/>
          </w:tcPr>
          <w:p>
            <w:r>
              <w:t>（1）鲜蛋：一般常见于消费的为对鲜蛋表面清洁消毒（紫外线或臭氧消毒）未经加工的带壳蛋，以及为了保证鲜蛋质量，仅用冷藏法、液浸法、涂膜法、气调法、干藏法等贮藏方法处理的带壳蛋。携带病原微生物的风险极大。（2）蛋制品：蛋制品可能携带禽流感病毒、新城疫病毒。根据《陆生动物卫生法典》，灭活蛋制品中禽流感病毒、新城疫病毒所需作用核心温度和作用时间，若蛋制品加工工艺可灭活禽流感病毒、新城疫病毒，包括煮制、高温喷雾干燥等，则加工程度风险为低风险；若加工工艺不可保证灭活禽流感病毒、新城疫病毒，则有可能携带疫病风险，加工程度风险为高风险。（3）根据《进口食品境外生产企业注册管理风险评估分类规则研究报告》分析，蛋与蛋制品的生产加工工艺风险等级均为高。</w:t>
            </w:r>
          </w:p>
        </w:tc>
        <w:tc>
          <w:tcPr>
            <w:tcW w:w="1623" w:type="dxa"/>
            <w:tcBorders>
              <w:top w:val="single" w:sz="4" w:space="0" w:color="auto"/>
              <w:left w:val="single" w:sz="4" w:space="0" w:color="auto"/>
              <w:right w:val="single" w:sz="4" w:space="0" w:color="auto"/>
            </w:tcBorders>
            <w:noWrap/>
          </w:tcPr>
          <w:p>
            <w:r>
              <w:t>蛋与蛋制品的相关品类需在冷冻、冷藏环境下通过集装箱储运，受温度因子影响，引入风险可能较大，根据《进口食品境外生产企业注册管理风险评估分类规则研究报告》分析，运输存储过程风险等级为高。</w:t>
            </w:r>
          </w:p>
        </w:tc>
        <w:tc>
          <w:tcPr>
            <w:tcW w:w="1450" w:type="dxa"/>
            <w:tcBorders>
              <w:top w:val="single" w:sz="4" w:space="0" w:color="auto"/>
              <w:left w:val="single" w:sz="4" w:space="0" w:color="auto"/>
              <w:right w:val="single" w:sz="4" w:space="0" w:color="auto"/>
            </w:tcBorders>
            <w:noWrap/>
          </w:tcPr>
          <w:p>
            <w:r>
              <w:t>因蛋与蛋制品暂无准入，暂无不合格情况检出。</w:t>
            </w:r>
          </w:p>
        </w:tc>
        <w:tc>
          <w:tcPr>
            <w:tcW w:w="1636" w:type="dxa"/>
            <w:tcBorders>
              <w:top w:val="single" w:sz="4" w:space="0" w:color="auto"/>
              <w:left w:val="single" w:sz="4" w:space="0" w:color="auto"/>
              <w:right w:val="single" w:sz="4" w:space="0" w:color="auto"/>
            </w:tcBorders>
            <w:noWrap/>
          </w:tcPr>
          <w:p>
            <w:r>
              <w:t>“蛋与蛋制品”产品项下不含供特定人群食用的特定食物，消费人群广泛。</w:t>
            </w:r>
          </w:p>
        </w:tc>
        <w:tc>
          <w:tcPr>
            <w:tcW w:w="1326" w:type="dxa"/>
            <w:tcBorders>
              <w:top w:val="single" w:sz="4" w:space="0" w:color="auto"/>
              <w:left w:val="single" w:sz="4" w:space="0" w:color="auto"/>
              <w:right w:val="single" w:sz="4" w:space="0" w:color="auto"/>
            </w:tcBorders>
            <w:noWrap/>
          </w:tcPr>
          <w:p>
            <w:r>
              <w:t>国内对鲜蛋类的消费以加工熟制为主，烹饪方式以煮、炒、炖、炸为主，较少生食。部分进口蛋制品未经过热加工工艺处理，对其质量安全要求较高。</w:t>
            </w:r>
          </w:p>
        </w:tc>
        <w:tc>
          <w:tcPr>
            <w:tcW w:w="1477" w:type="dxa"/>
            <w:noWrap/>
          </w:tcPr>
          <w:p>
            <w:r>
              <w:t>对于蛋与蛋制品，欧盟实施产品和国家准入、企业注册；美国实施国家准入和企业注册；澳大利亚和日本均实施国家和产品准入。</w:t>
            </w:r>
          </w:p>
        </w:tc>
      </w:tr>
    </w:tbl>
    <w:p>
      <w:r>
        <w:br w:type="page"/>
      </w:r>
    </w:p>
    <w:p>
      <w:r>
        <w:br w:type="page"/>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6"/>
        <w:gridCol w:w="644"/>
        <w:gridCol w:w="2405"/>
        <w:gridCol w:w="3073"/>
        <w:gridCol w:w="1623"/>
        <w:gridCol w:w="1450"/>
        <w:gridCol w:w="1636"/>
        <w:gridCol w:w="1326"/>
        <w:gridCol w:w="1477"/>
      </w:tblGrid>
      <w:tr>
        <w:tc>
          <w:tcPr>
            <w:tcW w:w="536" w:type="dxa"/>
            <w:noWrap/>
          </w:tcPr>
          <w:p>
            <w:pPr>
              <w:pStyle w:val="147"/>
            </w:pPr>
            <w:r>
              <w:t>5</w:t>
            </w:r>
          </w:p>
        </w:tc>
        <w:tc>
          <w:tcPr>
            <w:tcW w:w="644" w:type="dxa"/>
            <w:tcBorders>
              <w:top w:val="single" w:sz="4" w:space="0" w:color="auto"/>
              <w:left w:val="single" w:sz="4" w:space="0" w:color="auto"/>
              <w:right w:val="single" w:sz="4" w:space="0" w:color="auto"/>
            </w:tcBorders>
            <w:noWrap/>
          </w:tcPr>
          <w:p>
            <w:pPr>
              <w:pStyle w:val="146"/>
            </w:pPr>
            <w:r>
              <w:t>包馅面食</w:t>
            </w:r>
          </w:p>
        </w:tc>
        <w:tc>
          <w:tcPr>
            <w:tcW w:w="2405" w:type="dxa"/>
            <w:tcBorders>
              <w:top w:val="single" w:sz="4" w:space="0" w:color="auto"/>
              <w:left w:val="single" w:sz="4" w:space="0" w:color="auto"/>
              <w:right w:val="single" w:sz="4" w:space="0" w:color="auto"/>
            </w:tcBorders>
            <w:noWrap/>
          </w:tcPr>
          <w:p>
            <w:pPr>
              <w:pStyle w:val="145"/>
            </w:pPr>
            <w:r>
              <w:t>包馅面食多以小麦、大米、杂粮等一种或多种谷物及其制品为原料，或同时配以馅料/辅料；馅料/辅料可能包含豆类、薯类、畜禽肉、蛋类、生乳、水产品、果蔬、食用菌等一种或多种动植物源性食品。</w:t>
            </w:r>
          </w:p>
        </w:tc>
        <w:tc>
          <w:tcPr>
            <w:tcW w:w="3073" w:type="dxa"/>
            <w:tcBorders>
              <w:top w:val="single" w:sz="4" w:space="0" w:color="auto"/>
              <w:left w:val="single" w:sz="4" w:space="0" w:color="auto"/>
              <w:right w:val="single" w:sz="4" w:space="0" w:color="auto"/>
            </w:tcBorders>
            <w:noWrap/>
          </w:tcPr>
          <w:p>
            <w:pPr>
              <w:pStyle w:val="144"/>
            </w:pPr>
            <w:r>
              <w:t>包馅面食主要经调制、加工、成型、速冻而成。因包馅面食馅料来源复杂，尤其是含畜禽肉和蛋等肉源成分的馅料，可能涉及禽流感、口蹄疫、新城疫病毒等病原，如原料验收等加工环节管控不严，可能存在特定疫病随产品输入我国的可能。</w:t>
              <w:br/>
            </w:r>
          </w:p>
        </w:tc>
        <w:tc>
          <w:tcPr>
            <w:tcW w:w="1623" w:type="dxa"/>
            <w:tcBorders>
              <w:top w:val="single" w:sz="4" w:space="0" w:color="auto"/>
              <w:left w:val="single" w:sz="4" w:space="0" w:color="auto"/>
              <w:right w:val="single" w:sz="4" w:space="0" w:color="auto"/>
            </w:tcBorders>
            <w:noWrap/>
          </w:tcPr>
          <w:p>
            <w:pPr>
              <w:pStyle w:val="143"/>
            </w:pPr>
            <w:r>
              <w:t>包馅面食大多需要在冷冻、冷藏环境下通过集装箱储运，受温湿度因子影响较大，如该环节控制不当引入风险可能较大，直接导致食品破损、变质、腐败等问题，亦有可能产生致病菌污染风险，运输储存过程可能产生污染风险。</w:t>
            </w:r>
          </w:p>
        </w:tc>
        <w:tc>
          <w:tcPr>
            <w:tcW w:w="1450" w:type="dxa"/>
            <w:tcBorders>
              <w:top w:val="single" w:sz="4" w:space="0" w:color="auto"/>
              <w:left w:val="single" w:sz="4" w:space="0" w:color="auto"/>
              <w:right w:val="single" w:sz="4" w:space="0" w:color="auto"/>
            </w:tcBorders>
            <w:noWrap/>
          </w:tcPr>
          <w:p>
            <w:pPr>
              <w:pStyle w:val="142"/>
            </w:pPr>
            <w:r>
              <w:t>2022年1月-2023年12月，查获1批进口不合格，原因为添加剂超标。</w:t>
            </w:r>
          </w:p>
        </w:tc>
        <w:tc>
          <w:tcPr>
            <w:tcW w:w="1636" w:type="dxa"/>
            <w:tcBorders>
              <w:top w:val="single" w:sz="4" w:space="0" w:color="auto"/>
              <w:left w:val="single" w:sz="4" w:space="0" w:color="auto"/>
              <w:right w:val="single" w:sz="4" w:space="0" w:color="auto"/>
            </w:tcBorders>
            <w:noWrap/>
          </w:tcPr>
          <w:p>
            <w:pPr>
              <w:pStyle w:val="141"/>
            </w:pPr>
            <w:r>
              <w:t>包馅面食项下产品因馅料成分来源复杂，也存在对特定群体致敏的潜在风险。</w:t>
            </w:r>
          </w:p>
        </w:tc>
        <w:tc>
          <w:tcPr>
            <w:tcW w:w="1326" w:type="dxa"/>
            <w:tcBorders>
              <w:top w:val="single" w:sz="4" w:space="0" w:color="auto"/>
              <w:left w:val="single" w:sz="4" w:space="0" w:color="auto"/>
              <w:right w:val="single" w:sz="4" w:space="0" w:color="auto"/>
            </w:tcBorders>
            <w:noWrap/>
          </w:tcPr>
          <w:p>
            <w:pPr>
              <w:pStyle w:val="140"/>
            </w:pPr>
            <w:r>
              <w:t>包馅面食包括冻结前未经加热成熟的即食或非即食生制品，或冻结前经加热成熟的即食或非即食熟制品，因涉及温度控制，要防范有可能携带疫病的风险。</w:t>
            </w:r>
          </w:p>
        </w:tc>
        <w:tc>
          <w:tcPr>
            <w:tcW w:w="1477" w:type="dxa"/>
            <w:noWrap/>
          </w:tcPr>
          <w:p>
            <w:pPr>
              <w:pStyle w:val="139"/>
            </w:pPr>
            <w:r>
              <w:t>部分国家（地区）对包馅食品均有检疫准入要求，如欧盟对含乳、蛋、水产品食品以50%含量分类监管，高于此含量则实施检疫监管，对含肉成分食品均需要实施检疫监管。目前，我国对畜禽肉和蛋等动源性食品实施检疫准入管理。</w:t>
            </w:r>
          </w:p>
        </w:tc>
      </w:tr>
      <w:tr>
        <w:tc>
          <w:tcPr>
            <w:tcW w:w="536" w:type="dxa"/>
            <w:noWrap/>
          </w:tcPr>
          <w:p>
            <w:pPr>
              <w:pStyle w:val="138"/>
            </w:pPr>
            <w:r>
              <w:t>6</w:t>
            </w:r>
          </w:p>
        </w:tc>
        <w:tc>
          <w:tcPr>
            <w:tcW w:w="644" w:type="dxa"/>
            <w:tcBorders>
              <w:top w:val="single" w:sz="4" w:space="0" w:color="auto"/>
              <w:left w:val="single" w:sz="4" w:space="0" w:color="auto"/>
              <w:right w:val="single" w:sz="4" w:space="0" w:color="auto"/>
            </w:tcBorders>
            <w:noWrap/>
          </w:tcPr>
          <w:p>
            <w:pPr>
              <w:pStyle w:val="137"/>
            </w:pPr>
            <w:r>
              <w:t>大米</w:t>
            </w:r>
          </w:p>
        </w:tc>
        <w:tc>
          <w:tcPr>
            <w:tcW w:w="2405" w:type="dxa"/>
            <w:tcBorders>
              <w:top w:val="single" w:sz="4" w:space="0" w:color="auto"/>
              <w:left w:val="single" w:sz="4" w:space="0" w:color="auto"/>
              <w:right w:val="single" w:sz="4" w:space="0" w:color="auto"/>
            </w:tcBorders>
            <w:noWrap/>
          </w:tcPr>
          <w:p>
            <w:pPr>
              <w:pStyle w:val="136"/>
            </w:pPr>
            <w:r>
              <w:t>大米原料来源于稻谷，包括经碾制加工、不带稻壳以及其他杂物的糙米、精米和碎米等。稻谷易受有害生物的侵害，其种植环节也易产生农残超标、重金属污染等风险。</w:t>
            </w:r>
          </w:p>
        </w:tc>
        <w:tc>
          <w:tcPr>
            <w:tcW w:w="3073" w:type="dxa"/>
            <w:tcBorders>
              <w:top w:val="single" w:sz="4" w:space="0" w:color="auto"/>
              <w:left w:val="single" w:sz="4" w:space="0" w:color="auto"/>
              <w:right w:val="single" w:sz="4" w:space="0" w:color="auto"/>
            </w:tcBorders>
            <w:noWrap/>
          </w:tcPr>
          <w:p>
            <w:pPr>
              <w:pStyle w:val="135"/>
            </w:pPr>
            <w:r>
              <w:t>大米加工工艺可能涉及去石、砻谷、谷糙分离、色选、抛光等多个环节，根据《国际植物检疫措施标准 基于有害生物风险的商品分类》（ISPM 32），上述加工方式仍然可能受疫情疫病侵染，同时，大米加工过程基本不会消减其农药残留和重金属等含量，加工过程可能存在污染风险。</w:t>
            </w:r>
          </w:p>
        </w:tc>
        <w:tc>
          <w:tcPr>
            <w:tcW w:w="1623" w:type="dxa"/>
            <w:tcBorders>
              <w:top w:val="single" w:sz="4" w:space="0" w:color="auto"/>
              <w:left w:val="single" w:sz="4" w:space="0" w:color="auto"/>
              <w:right w:val="single" w:sz="4" w:space="0" w:color="auto"/>
            </w:tcBorders>
            <w:noWrap/>
          </w:tcPr>
          <w:p>
            <w:pPr>
              <w:pStyle w:val="134"/>
            </w:pPr>
            <w:r>
              <w:t>在存储过程中根据商品包装形式不同。散装或编织袋包装的产品受温湿度、存储条件等影响，该环节控制不当可能造成产品被有害生物侵染或发生霉变，运输储存过程可能存在污染风险。海关曾多次在输华大米中截获有害生物，其中也包括巴西豆象等检疫性有害生物。</w:t>
            </w:r>
          </w:p>
        </w:tc>
        <w:tc>
          <w:tcPr>
            <w:tcW w:w="1450" w:type="dxa"/>
            <w:tcBorders>
              <w:top w:val="single" w:sz="4" w:space="0" w:color="auto"/>
              <w:left w:val="single" w:sz="4" w:space="0" w:color="auto"/>
              <w:right w:val="single" w:sz="4" w:space="0" w:color="auto"/>
            </w:tcBorders>
            <w:noWrap/>
          </w:tcPr>
          <w:p>
            <w:pPr>
              <w:pStyle w:val="133"/>
            </w:pPr>
            <w:r>
              <w:t>2022年1月-2023年12月，查获8批大米不合格，不合格原因主要为污染物超标、品质不合格等。</w:t>
              <w:br/>
              <w:br/>
            </w:r>
          </w:p>
        </w:tc>
        <w:tc>
          <w:tcPr>
            <w:tcW w:w="1636" w:type="dxa"/>
            <w:tcBorders>
              <w:top w:val="single" w:sz="4" w:space="0" w:color="auto"/>
              <w:left w:val="single" w:sz="4" w:space="0" w:color="auto"/>
              <w:right w:val="single" w:sz="4" w:space="0" w:color="auto"/>
            </w:tcBorders>
            <w:noWrap/>
          </w:tcPr>
          <w:p>
            <w:pPr>
              <w:pStyle w:val="132"/>
            </w:pPr>
            <w:r>
              <w:t>大米作为我国日常主食，几乎覆盖所有消费者，粮食安全问题受到高度关注。</w:t>
            </w:r>
          </w:p>
        </w:tc>
        <w:tc>
          <w:tcPr>
            <w:tcW w:w="1326" w:type="dxa"/>
            <w:tcBorders>
              <w:top w:val="single" w:sz="4" w:space="0" w:color="auto"/>
              <w:left w:val="single" w:sz="4" w:space="0" w:color="auto"/>
              <w:right w:val="single" w:sz="4" w:space="0" w:color="auto"/>
            </w:tcBorders>
            <w:noWrap/>
          </w:tcPr>
          <w:p>
            <w:pPr>
              <w:pStyle w:val="131"/>
            </w:pPr>
            <w:r>
              <w:t>进口大米主要熟制后食用；部分进口大米或碎米主要用于进一步加工饲料或酿造等。</w:t>
            </w:r>
          </w:p>
        </w:tc>
        <w:tc>
          <w:tcPr>
            <w:tcW w:w="1477" w:type="dxa"/>
            <w:noWrap/>
          </w:tcPr>
          <w:p>
            <w:pPr>
              <w:pStyle w:val="130"/>
            </w:pPr>
          </w:p>
        </w:tc>
      </w:tr>
      <w:tr>
        <w:tc>
          <w:tcPr>
            <w:tcW w:w="536" w:type="dxa"/>
            <w:noWrap/>
          </w:tcPr>
          <w:p>
            <w:pPr>
              <w:pStyle w:val="129"/>
            </w:pPr>
            <w:r>
              <w:t>7</w:t>
            </w:r>
          </w:p>
        </w:tc>
        <w:tc>
          <w:tcPr>
            <w:tcW w:w="644" w:type="dxa"/>
            <w:tcBorders>
              <w:top w:val="single" w:sz="4" w:space="0" w:color="auto"/>
              <w:left w:val="single" w:sz="4" w:space="0" w:color="auto"/>
              <w:right w:val="single" w:sz="4" w:space="0" w:color="auto"/>
            </w:tcBorders>
            <w:noWrap/>
          </w:tcPr>
          <w:p>
            <w:pPr>
              <w:pStyle w:val="128"/>
            </w:pPr>
            <w:r>
              <w:t>谷物制粉工业产品和麦芽</w:t>
            </w:r>
          </w:p>
        </w:tc>
        <w:tc>
          <w:tcPr>
            <w:tcW w:w="2405" w:type="dxa"/>
            <w:tcBorders>
              <w:top w:val="single" w:sz="4" w:space="0" w:color="auto"/>
              <w:left w:val="single" w:sz="4" w:space="0" w:color="auto"/>
              <w:right w:val="single" w:sz="4" w:space="0" w:color="auto"/>
            </w:tcBorders>
            <w:noWrap/>
          </w:tcPr>
          <w:p>
            <w:pPr>
              <w:pStyle w:val="127"/>
            </w:pPr>
            <w:r>
              <w:t>（1）谷物制粉主要以禾本科子实为主，如小麦、大米、玉米、黑麦、荞麦、燕麦等，涉及产品类别主要包括大米粉、小麦粉等。麦芽主要以大麦、小麦、黑麦、燕麦等的成熟果实为原料。（2）小麦等子实是携带远程传播TCK（小麦矮腥黑穗病）、TIM（小麦印度腥黑穗病菌）等检疫性有害生物主要载体，该类有害生物属于危害大且极难防治的国际重要检疫性病害，属于我国一类检疫性有有害生物，被国际上多个国家列为检疫性病害。</w:t>
            </w:r>
          </w:p>
        </w:tc>
        <w:tc>
          <w:tcPr>
            <w:tcW w:w="3073" w:type="dxa"/>
            <w:tcBorders>
              <w:top w:val="single" w:sz="4" w:space="0" w:color="auto"/>
              <w:left w:val="single" w:sz="4" w:space="0" w:color="auto"/>
              <w:right w:val="single" w:sz="4" w:space="0" w:color="auto"/>
            </w:tcBorders>
            <w:noWrap/>
          </w:tcPr>
          <w:p>
            <w:pPr>
              <w:pStyle w:val="126"/>
            </w:pPr>
            <w:r>
              <w:t>谷物制粉工业产品是小麦、大米、玉米、黑麦等经过碾压、碾磨、滚压或制片等工艺制成；麦芽是大麦、小麦、黑麦等经过发芽、干燥等工艺制成。根据《国际植物检疫措施标准 基于有害生物风险的商品分类》（ISPM 32），该方式加工后仍然可能受疫情疫病侵染，尤其对于以小麦、黑麦等为原料的产品，如缺少高温灭活的过程，有携带TCK（小麦矮腥黑穗病）、TIM（小麦印度腥黑穗病菌）等有害生物的风险。</w:t>
            </w:r>
          </w:p>
        </w:tc>
        <w:tc>
          <w:tcPr>
            <w:tcW w:w="1623" w:type="dxa"/>
            <w:tcBorders>
              <w:top w:val="single" w:sz="4" w:space="0" w:color="auto"/>
              <w:left w:val="single" w:sz="4" w:space="0" w:color="auto"/>
              <w:right w:val="single" w:sz="4" w:space="0" w:color="auto"/>
            </w:tcBorders>
            <w:noWrap/>
          </w:tcPr>
          <w:p>
            <w:pPr>
              <w:pStyle w:val="125"/>
            </w:pPr>
            <w:r>
              <w:t>产品多以大袋散装形式、常温集装箱运输储运，受温湿度、存储条件等影响，该环节控制不当可能造成产品被有害生物侵染或发生霉变，运输储存过程可能存在污染风险。</w:t>
            </w:r>
          </w:p>
        </w:tc>
        <w:tc>
          <w:tcPr>
            <w:tcW w:w="1450" w:type="dxa"/>
            <w:tcBorders>
              <w:top w:val="single" w:sz="4" w:space="0" w:color="auto"/>
              <w:left w:val="single" w:sz="4" w:space="0" w:color="auto"/>
              <w:right w:val="single" w:sz="4" w:space="0" w:color="auto"/>
            </w:tcBorders>
            <w:noWrap/>
          </w:tcPr>
          <w:p>
            <w:pPr>
              <w:pStyle w:val="124"/>
            </w:pPr>
            <w:r>
              <w:t>2022年1月-2023年12月，查获4批不合格，主要为品质不合格。</w:t>
            </w:r>
          </w:p>
        </w:tc>
        <w:tc>
          <w:tcPr>
            <w:tcW w:w="1636" w:type="dxa"/>
            <w:tcBorders>
              <w:top w:val="single" w:sz="4" w:space="0" w:color="auto"/>
              <w:left w:val="single" w:sz="4" w:space="0" w:color="auto"/>
              <w:right w:val="single" w:sz="4" w:space="0" w:color="auto"/>
            </w:tcBorders>
            <w:noWrap/>
          </w:tcPr>
          <w:p>
            <w:pPr>
              <w:pStyle w:val="123"/>
            </w:pPr>
            <w:r>
              <w:t>可能作为食品加工原料，也存在对特定群体致敏的潜在风险。</w:t>
            </w:r>
          </w:p>
        </w:tc>
        <w:tc>
          <w:tcPr>
            <w:tcW w:w="1326" w:type="dxa"/>
            <w:tcBorders>
              <w:top w:val="single" w:sz="4" w:space="0" w:color="auto"/>
              <w:left w:val="single" w:sz="4" w:space="0" w:color="auto"/>
              <w:right w:val="single" w:sz="4" w:space="0" w:color="auto"/>
            </w:tcBorders>
            <w:noWrap/>
          </w:tcPr>
          <w:p>
            <w:pPr>
              <w:pStyle w:val="122"/>
            </w:pPr>
            <w:r>
              <w:t>一般需进行烹饪或加工后食用，不易通过食用方式受到有害因子二次侵染，但仍存在异物、变质等原因引发潜在风险可能。</w:t>
            </w:r>
          </w:p>
        </w:tc>
        <w:tc>
          <w:tcPr>
            <w:tcW w:w="1477" w:type="dxa"/>
            <w:noWrap/>
          </w:tcPr>
          <w:p>
            <w:pPr>
              <w:pStyle w:val="121"/>
            </w:pPr>
          </w:p>
        </w:tc>
      </w:tr>
      <w:tr>
        <w:tc>
          <w:tcPr>
            <w:tcW w:w="536" w:type="dxa"/>
            <w:noWrap/>
          </w:tcPr>
          <w:p>
            <w:pPr>
              <w:pStyle w:val="120"/>
            </w:pPr>
            <w:r>
              <w:t>8</w:t>
            </w:r>
          </w:p>
        </w:tc>
        <w:tc>
          <w:tcPr>
            <w:tcW w:w="644" w:type="dxa"/>
            <w:tcBorders>
              <w:top w:val="single" w:sz="4" w:space="0" w:color="auto"/>
              <w:left w:val="single" w:sz="4" w:space="0" w:color="auto"/>
              <w:right w:val="single" w:sz="4" w:space="0" w:color="auto"/>
            </w:tcBorders>
            <w:noWrap/>
          </w:tcPr>
          <w:p>
            <w:pPr>
              <w:pStyle w:val="119"/>
            </w:pPr>
            <w:r>
              <w:t>坚果与籽类</w:t>
            </w:r>
          </w:p>
        </w:tc>
        <w:tc>
          <w:tcPr>
            <w:tcW w:w="2405" w:type="dxa"/>
            <w:tcBorders>
              <w:top w:val="single" w:sz="4" w:space="0" w:color="auto"/>
              <w:left w:val="single" w:sz="4" w:space="0" w:color="auto"/>
              <w:right w:val="single" w:sz="4" w:space="0" w:color="auto"/>
            </w:tcBorders>
            <w:noWrap/>
          </w:tcPr>
          <w:p>
            <w:pPr>
              <w:pStyle w:val="118"/>
            </w:pPr>
            <w:r>
              <w:t>坚果与籽类是具有坚硬外壳的木本类植物的籽粒或以坚果、籽类或其籽仁等为主要原料加工的产品，包括核桃、板栗、杏核、扁桃核、山核桃、开心果、香榧、夏威夷果、松籽等。</w:t>
            </w:r>
          </w:p>
        </w:tc>
        <w:tc>
          <w:tcPr>
            <w:tcW w:w="3073" w:type="dxa"/>
            <w:tcBorders>
              <w:top w:val="single" w:sz="4" w:space="0" w:color="auto"/>
              <w:left w:val="single" w:sz="4" w:space="0" w:color="auto"/>
              <w:right w:val="single" w:sz="4" w:space="0" w:color="auto"/>
            </w:tcBorders>
            <w:noWrap/>
          </w:tcPr>
          <w:p>
            <w:pPr>
              <w:pStyle w:val="117"/>
            </w:pPr>
            <w:r>
              <w:t>坚果与籽类产品一般采用物理加工方式，包括切碎、挤压、剥皮和去壳等其本身性状并未发生变化，依据国际植物保护公约（IPPC）《国际植物检疫措施标准 基于有害生物风险的商品分类》（ISPM 32），则仍有可能受到有害生物的侵染，同时，加工过程操作不当也易造成品质不合格以及加工工艺未消除有害生物的风险。在国际上也有部分国家坚果食品发生发生李斯特菌、沙门氏菌等致病菌污染事件，坚果与籽类加工过程可能存在污染风险。</w:t>
            </w:r>
          </w:p>
        </w:tc>
        <w:tc>
          <w:tcPr>
            <w:tcW w:w="1623" w:type="dxa"/>
            <w:tcBorders>
              <w:top w:val="single" w:sz="4" w:space="0" w:color="auto"/>
              <w:left w:val="single" w:sz="4" w:space="0" w:color="auto"/>
              <w:right w:val="single" w:sz="4" w:space="0" w:color="auto"/>
            </w:tcBorders>
            <w:noWrap/>
          </w:tcPr>
          <w:p>
            <w:pPr>
              <w:pStyle w:val="116"/>
            </w:pPr>
            <w:r>
              <w:t>在存储过程中根据商品包装形式不同。散装或编织袋包装的产品受温湿度、存储条件等影响，该环节控制不当可能造成产品被有害生物侵染，同时，产品本身油脂含量高，易氧化，产品品质易受影响，运输储存过程可能存在污染风险。</w:t>
            </w:r>
          </w:p>
        </w:tc>
        <w:tc>
          <w:tcPr>
            <w:tcW w:w="1450" w:type="dxa"/>
            <w:tcBorders>
              <w:top w:val="single" w:sz="4" w:space="0" w:color="auto"/>
              <w:left w:val="single" w:sz="4" w:space="0" w:color="auto"/>
              <w:right w:val="single" w:sz="4" w:space="0" w:color="auto"/>
            </w:tcBorders>
            <w:noWrap/>
          </w:tcPr>
          <w:p>
            <w:pPr>
              <w:pStyle w:val="115"/>
            </w:pPr>
            <w:r>
              <w:t>2022年1月-2023年12月，查获60批坚果与籽类不合格，主要原因为品质不合格。</w:t>
            </w:r>
          </w:p>
        </w:tc>
        <w:tc>
          <w:tcPr>
            <w:tcW w:w="1636" w:type="dxa"/>
            <w:tcBorders>
              <w:top w:val="single" w:sz="4" w:space="0" w:color="auto"/>
              <w:left w:val="single" w:sz="4" w:space="0" w:color="auto"/>
              <w:right w:val="single" w:sz="4" w:space="0" w:color="auto"/>
            </w:tcBorders>
            <w:noWrap/>
          </w:tcPr>
          <w:p>
            <w:pPr>
              <w:pStyle w:val="114"/>
            </w:pPr>
            <w:r>
              <w:t>该类产品我国进口依存度较高，且消费人群较广，也存在对特定群体致敏的潜在风险。</w:t>
            </w:r>
          </w:p>
        </w:tc>
        <w:tc>
          <w:tcPr>
            <w:tcW w:w="1326" w:type="dxa"/>
            <w:tcBorders>
              <w:top w:val="single" w:sz="4" w:space="0" w:color="auto"/>
              <w:left w:val="single" w:sz="4" w:space="0" w:color="auto"/>
              <w:right w:val="single" w:sz="4" w:space="0" w:color="auto"/>
            </w:tcBorders>
            <w:noWrap/>
          </w:tcPr>
          <w:p>
            <w:pPr>
              <w:pStyle w:val="113"/>
            </w:pPr>
            <w:r>
              <w:t>可直接食用或由食品企业进一步加工后食用。</w:t>
            </w:r>
          </w:p>
        </w:tc>
        <w:tc>
          <w:tcPr>
            <w:tcW w:w="1477" w:type="dxa"/>
            <w:noWrap/>
          </w:tcPr>
          <w:p>
            <w:pPr>
              <w:pStyle w:val="112"/>
            </w:pPr>
          </w:p>
        </w:tc>
      </w:tr>
      <w:tr>
        <w:tc>
          <w:tcPr>
            <w:tcW w:w="536" w:type="dxa"/>
            <w:noWrap/>
          </w:tcPr>
          <w:p>
            <w:pPr>
              <w:pStyle w:val="111"/>
            </w:pPr>
            <w:r>
              <w:t>9</w:t>
            </w:r>
          </w:p>
        </w:tc>
        <w:tc>
          <w:tcPr>
            <w:tcW w:w="644" w:type="dxa"/>
            <w:tcBorders>
              <w:top w:val="single" w:sz="4" w:space="0" w:color="auto"/>
              <w:left w:val="single" w:sz="4" w:space="0" w:color="auto"/>
              <w:right w:val="single" w:sz="4" w:space="0" w:color="auto"/>
            </w:tcBorders>
            <w:noWrap/>
          </w:tcPr>
          <w:p>
            <w:pPr>
              <w:pStyle w:val="110"/>
            </w:pPr>
            <w:r>
              <w:t>干果</w:t>
            </w:r>
          </w:p>
        </w:tc>
        <w:tc>
          <w:tcPr>
            <w:tcW w:w="2405" w:type="dxa"/>
            <w:tcBorders>
              <w:top w:val="single" w:sz="4" w:space="0" w:color="auto"/>
              <w:left w:val="single" w:sz="4" w:space="0" w:color="auto"/>
              <w:right w:val="single" w:sz="4" w:space="0" w:color="auto"/>
            </w:tcBorders>
            <w:noWrap/>
          </w:tcPr>
          <w:p>
            <w:pPr>
              <w:pStyle w:val="109"/>
            </w:pPr>
            <w:r>
              <w:t>干果以新鲜水果（如桂圆、荔枝、葡萄、柿子）为原料，存在被检疫性有害生物侵害的风险，且原料种植环节可能产生农残超标等安全风险。</w:t>
            </w:r>
          </w:p>
        </w:tc>
        <w:tc>
          <w:tcPr>
            <w:tcW w:w="3073" w:type="dxa"/>
            <w:tcBorders>
              <w:top w:val="single" w:sz="4" w:space="0" w:color="auto"/>
              <w:left w:val="single" w:sz="4" w:space="0" w:color="auto"/>
              <w:right w:val="single" w:sz="4" w:space="0" w:color="auto"/>
            </w:tcBorders>
            <w:noWrap/>
          </w:tcPr>
          <w:p>
            <w:pPr>
              <w:pStyle w:val="108"/>
            </w:pPr>
            <w:r>
              <w:t>干果一般经晾晒、干燥等脱水工艺加工，依据国际植物保护公约（IPPC）《国际植物检疫措施标准 基于有害生物风险的商品分类》（ISPM 32），仍有受有害生物侵染的风险。同时，因产品本身外观品质及防腐要求，企业在生产加工中，可能常会使用二氧化硫等食品添加剂，存在超限量或超标使用的风险。综上所述，干果加工过程可能存在污染风险。</w:t>
            </w:r>
          </w:p>
        </w:tc>
        <w:tc>
          <w:tcPr>
            <w:tcW w:w="1623" w:type="dxa"/>
            <w:tcBorders>
              <w:top w:val="single" w:sz="4" w:space="0" w:color="auto"/>
              <w:left w:val="single" w:sz="4" w:space="0" w:color="auto"/>
              <w:right w:val="single" w:sz="4" w:space="0" w:color="auto"/>
            </w:tcBorders>
            <w:noWrap/>
          </w:tcPr>
          <w:p>
            <w:pPr>
              <w:pStyle w:val="107"/>
            </w:pPr>
            <w:r>
              <w:t>产品多以大袋散装形式、常温集装箱运输储运，受温湿度、存储条件等影响，该环节控制不当可能造成产品被有害生物侵染或发生霉变，运输储存过程可能存在污染风险。</w:t>
            </w:r>
          </w:p>
        </w:tc>
        <w:tc>
          <w:tcPr>
            <w:tcW w:w="1450" w:type="dxa"/>
            <w:tcBorders>
              <w:top w:val="single" w:sz="4" w:space="0" w:color="auto"/>
              <w:left w:val="single" w:sz="4" w:space="0" w:color="auto"/>
              <w:right w:val="single" w:sz="4" w:space="0" w:color="auto"/>
            </w:tcBorders>
            <w:noWrap/>
          </w:tcPr>
          <w:p>
            <w:pPr>
              <w:pStyle w:val="106"/>
            </w:pPr>
            <w:r>
              <w:t>2022年1月-2023年12月，查获39批进口干果不合格，原因主要为添加剂超标（二氧化硫）和品质不合格。</w:t>
            </w:r>
          </w:p>
        </w:tc>
        <w:tc>
          <w:tcPr>
            <w:tcW w:w="1636" w:type="dxa"/>
            <w:tcBorders>
              <w:top w:val="single" w:sz="4" w:space="0" w:color="auto"/>
              <w:left w:val="single" w:sz="4" w:space="0" w:color="auto"/>
              <w:right w:val="single" w:sz="4" w:space="0" w:color="auto"/>
            </w:tcBorders>
            <w:noWrap/>
          </w:tcPr>
          <w:p>
            <w:pPr>
              <w:pStyle w:val="105"/>
            </w:pPr>
            <w:r>
              <w:t>干果消费人群较广，也存在对特定群体致敏的潜在风险。</w:t>
            </w:r>
          </w:p>
        </w:tc>
        <w:tc>
          <w:tcPr>
            <w:tcW w:w="1326" w:type="dxa"/>
            <w:tcBorders>
              <w:top w:val="single" w:sz="4" w:space="0" w:color="auto"/>
              <w:left w:val="single" w:sz="4" w:space="0" w:color="auto"/>
              <w:right w:val="single" w:sz="4" w:space="0" w:color="auto"/>
            </w:tcBorders>
            <w:noWrap/>
          </w:tcPr>
          <w:p>
            <w:pPr>
              <w:pStyle w:val="104"/>
            </w:pPr>
            <w:r>
              <w:t>可直接食用或由食品企业进一步加工后食用。</w:t>
            </w:r>
          </w:p>
        </w:tc>
        <w:tc>
          <w:tcPr>
            <w:tcW w:w="1477" w:type="dxa"/>
            <w:noWrap/>
          </w:tcPr>
          <w:p>
            <w:pPr>
              <w:pStyle w:val="103"/>
            </w:pPr>
          </w:p>
        </w:tc>
      </w:tr>
      <w:tr>
        <w:tc>
          <w:tcPr>
            <w:tcW w:w="536" w:type="dxa"/>
            <w:noWrap/>
          </w:tcPr>
          <w:p>
            <w:pPr>
              <w:pStyle w:val="102"/>
            </w:pPr>
            <w:r>
              <w:t>10</w:t>
            </w:r>
          </w:p>
        </w:tc>
        <w:tc>
          <w:tcPr>
            <w:tcW w:w="644" w:type="dxa"/>
            <w:tcBorders>
              <w:top w:val="single" w:sz="4" w:space="0" w:color="auto"/>
              <w:left w:val="single" w:sz="4" w:space="0" w:color="auto"/>
              <w:right w:val="single" w:sz="4" w:space="0" w:color="auto"/>
            </w:tcBorders>
            <w:noWrap/>
          </w:tcPr>
          <w:p>
            <w:pPr>
              <w:pStyle w:val="101"/>
            </w:pPr>
            <w:r>
              <w:t>乳制品</w:t>
            </w:r>
          </w:p>
        </w:tc>
        <w:tc>
          <w:tcPr>
            <w:tcW w:w="2405" w:type="dxa"/>
            <w:tcBorders>
              <w:top w:val="single" w:sz="4" w:space="0" w:color="auto"/>
              <w:left w:val="single" w:sz="4" w:space="0" w:color="auto"/>
              <w:right w:val="single" w:sz="4" w:space="0" w:color="auto"/>
            </w:tcBorders>
            <w:noWrap/>
          </w:tcPr>
          <w:p>
            <w:pPr>
              <w:pStyle w:val="100"/>
            </w:pPr>
            <w:r>
              <w:t>生乳以及某些加工工艺的乳制品可能传播动物疫病且可能传播人畜共患类疾病，存在食品安全、动物卫生安全、公共卫生安全风险。</w:t>
            </w:r>
          </w:p>
        </w:tc>
        <w:tc>
          <w:tcPr>
            <w:tcW w:w="3073" w:type="dxa"/>
            <w:tcBorders>
              <w:top w:val="single" w:sz="4" w:space="0" w:color="auto"/>
              <w:left w:val="single" w:sz="4" w:space="0" w:color="auto"/>
              <w:right w:val="single" w:sz="4" w:space="0" w:color="auto"/>
            </w:tcBorders>
            <w:noWrap/>
          </w:tcPr>
          <w:p>
            <w:pPr>
              <w:pStyle w:val="99"/>
            </w:pPr>
            <w:r>
              <w:t>需要遵循WOAH建议并且符合食品安全国家标准，加工工艺对灭活病毒是关键环节。</w:t>
            </w:r>
          </w:p>
        </w:tc>
        <w:tc>
          <w:tcPr>
            <w:tcW w:w="1623" w:type="dxa"/>
            <w:tcBorders>
              <w:top w:val="single" w:sz="4" w:space="0" w:color="auto"/>
              <w:left w:val="single" w:sz="4" w:space="0" w:color="auto"/>
              <w:right w:val="single" w:sz="4" w:space="0" w:color="auto"/>
            </w:tcBorders>
            <w:noWrap/>
          </w:tcPr>
          <w:p>
            <w:pPr>
              <w:pStyle w:val="98"/>
            </w:pPr>
            <w:r>
              <w:t>需要进行温度、存储条件等控制，可能存在污染风险。</w:t>
            </w:r>
          </w:p>
        </w:tc>
        <w:tc>
          <w:tcPr>
            <w:tcW w:w="1450" w:type="dxa"/>
            <w:tcBorders>
              <w:top w:val="single" w:sz="4" w:space="0" w:color="auto"/>
              <w:left w:val="single" w:sz="4" w:space="0" w:color="auto"/>
              <w:right w:val="single" w:sz="4" w:space="0" w:color="auto"/>
            </w:tcBorders>
            <w:noWrap/>
          </w:tcPr>
          <w:p>
            <w:pPr>
              <w:pStyle w:val="97"/>
            </w:pPr>
            <w:r>
              <w:t>根据2023年至2024年，进口乳制品注册企业输华贸易和不符合情况，50个有输华贸易的国家地区中有14个国家存在产品不合格禁止入境情况占28%，2177家有输华贸易的乳制品企业中25家存在产品不合格禁止入境情况占1.1%。</w:t>
            </w:r>
          </w:p>
        </w:tc>
        <w:tc>
          <w:tcPr>
            <w:tcW w:w="1636" w:type="dxa"/>
            <w:tcBorders>
              <w:top w:val="single" w:sz="4" w:space="0" w:color="auto"/>
              <w:left w:val="single" w:sz="4" w:space="0" w:color="auto"/>
              <w:right w:val="single" w:sz="4" w:space="0" w:color="auto"/>
            </w:tcBorders>
            <w:noWrap/>
          </w:tcPr>
          <w:p>
            <w:pPr>
              <w:pStyle w:val="96"/>
            </w:pPr>
            <w:r>
              <w:t>针对人群敏感，几乎覆盖所有消费者，特别是婴幼儿及老年人群体。</w:t>
            </w:r>
          </w:p>
        </w:tc>
        <w:tc>
          <w:tcPr>
            <w:tcW w:w="1326" w:type="dxa"/>
            <w:tcBorders>
              <w:top w:val="single" w:sz="4" w:space="0" w:color="auto"/>
              <w:left w:val="single" w:sz="4" w:space="0" w:color="auto"/>
              <w:right w:val="single" w:sz="4" w:space="0" w:color="auto"/>
            </w:tcBorders>
            <w:noWrap/>
          </w:tcPr>
          <w:p>
            <w:pPr>
              <w:pStyle w:val="95"/>
            </w:pPr>
            <w:r>
              <w:t>直接食用或做食品原料用于食品加工。</w:t>
            </w:r>
          </w:p>
        </w:tc>
        <w:tc>
          <w:tcPr>
            <w:tcW w:w="1477" w:type="dxa"/>
            <w:noWrap/>
          </w:tcPr>
          <w:p>
            <w:pPr>
              <w:pStyle w:val="94"/>
            </w:pPr>
            <w:r>
              <w:t>美国、欧盟、澳新、韩国、俄罗斯、印尼、马来西亚等绝大多数国家均对乳制品生产企业有注册或官方推荐的要求。</w:t>
            </w:r>
          </w:p>
        </w:tc>
      </w:tr>
      <w:tr>
        <w:tc>
          <w:tcPr>
            <w:tcW w:w="536" w:type="dxa"/>
            <w:noWrap/>
          </w:tcPr>
          <w:p>
            <w:pPr>
              <w:pStyle w:val="93"/>
            </w:pPr>
            <w:r>
              <w:t>11</w:t>
            </w:r>
          </w:p>
        </w:tc>
        <w:tc>
          <w:tcPr>
            <w:tcW w:w="644" w:type="dxa"/>
            <w:tcBorders>
              <w:top w:val="single" w:sz="4" w:space="0" w:color="auto"/>
              <w:left w:val="single" w:sz="4" w:space="0" w:color="auto"/>
              <w:right w:val="single" w:sz="4" w:space="0" w:color="auto"/>
            </w:tcBorders>
            <w:noWrap/>
          </w:tcPr>
          <w:p>
            <w:pPr>
              <w:pStyle w:val="92"/>
            </w:pPr>
            <w:r>
              <w:t>水产品</w:t>
            </w:r>
          </w:p>
        </w:tc>
        <w:tc>
          <w:tcPr>
            <w:tcW w:w="2405" w:type="dxa"/>
            <w:tcBorders>
              <w:top w:val="single" w:sz="4" w:space="0" w:color="auto"/>
              <w:left w:val="single" w:sz="4" w:space="0" w:color="auto"/>
              <w:right w:val="single" w:sz="4" w:space="0" w:color="auto"/>
            </w:tcBorders>
            <w:noWrap/>
          </w:tcPr>
          <w:p>
            <w:pPr>
              <w:pStyle w:val="91"/>
            </w:pPr>
            <w:r>
              <w:t>水产品包括水母类、软体类、甲壳类、棘皮类、头索类、鱼类、两栖类、爬行类、水生哺乳类动物等其他水生动物产品以及藻类等海洋植物产品及其制品，原料来源复杂，水产品存在检疫风险和安全卫生风险。</w:t>
            </w:r>
          </w:p>
        </w:tc>
        <w:tc>
          <w:tcPr>
            <w:tcW w:w="3073" w:type="dxa"/>
            <w:tcBorders>
              <w:top w:val="single" w:sz="4" w:space="0" w:color="auto"/>
              <w:left w:val="single" w:sz="4" w:space="0" w:color="auto"/>
              <w:right w:val="single" w:sz="4" w:space="0" w:color="auto"/>
            </w:tcBorders>
            <w:noWrap/>
          </w:tcPr>
          <w:p>
            <w:pPr>
              <w:pStyle w:val="90"/>
            </w:pPr>
            <w:r>
              <w:t>水产品根据加工方式分为冰鲜、冷冻、干制、腌制水产品，罐制品、鱼糜及鱼糜制品、水产动物内脏制品、水产调味品、水产动物油脂、其他水产品等，加工工艺复杂，不同加工方式均存在一定检疫风险和安全卫生风险，尤其是冰鲜、冷冻方式风险更高。</w:t>
            </w:r>
          </w:p>
        </w:tc>
        <w:tc>
          <w:tcPr>
            <w:tcW w:w="1623" w:type="dxa"/>
            <w:tcBorders>
              <w:top w:val="single" w:sz="4" w:space="0" w:color="auto"/>
              <w:left w:val="single" w:sz="4" w:space="0" w:color="auto"/>
              <w:right w:val="single" w:sz="4" w:space="0" w:color="auto"/>
            </w:tcBorders>
            <w:noWrap/>
          </w:tcPr>
          <w:p>
            <w:pPr>
              <w:pStyle w:val="89"/>
            </w:pPr>
            <w:r>
              <w:t>水产品运输形式包括冷冻、冷藏及其他方式，受环境温度、湿度等保存条件影响较大，引入风险可能较大。</w:t>
            </w:r>
          </w:p>
        </w:tc>
        <w:tc>
          <w:tcPr>
            <w:tcW w:w="1450" w:type="dxa"/>
            <w:tcBorders>
              <w:top w:val="single" w:sz="4" w:space="0" w:color="auto"/>
              <w:left w:val="single" w:sz="4" w:space="0" w:color="auto"/>
              <w:right w:val="single" w:sz="4" w:space="0" w:color="auto"/>
            </w:tcBorders>
            <w:noWrap/>
          </w:tcPr>
          <w:p>
            <w:pPr>
              <w:pStyle w:val="88"/>
            </w:pPr>
            <w:r>
              <w:t>2022年至2023年我国进口水产品不合格情况：91个有输华贸易的国家（地区）中，53个国家（地区）存在进口水产品不合格情况，占58.2%，其中涉及产品质量安全问题的国家有40个，占44%。有输华贸易的5199家水产品企业中有620家存在不合格情况，占11.9%，其中涉及产品质量安全问题的企业312家，占6%。</w:t>
            </w:r>
          </w:p>
        </w:tc>
        <w:tc>
          <w:tcPr>
            <w:tcW w:w="1636" w:type="dxa"/>
            <w:tcBorders>
              <w:top w:val="single" w:sz="4" w:space="0" w:color="auto"/>
              <w:left w:val="single" w:sz="4" w:space="0" w:color="auto"/>
              <w:right w:val="single" w:sz="4" w:space="0" w:color="auto"/>
            </w:tcBorders>
            <w:noWrap/>
          </w:tcPr>
          <w:p>
            <w:r>
              <w:t>水产品消费人群较广，受地域、年龄等因素限制较少，几乎面对所有消费群众，普通民众食用被污染水产品会带来健康风险。</w:t>
            </w:r>
          </w:p>
        </w:tc>
        <w:tc>
          <w:tcPr>
            <w:tcW w:w="1326" w:type="dxa"/>
            <w:tcBorders>
              <w:top w:val="single" w:sz="4" w:space="0" w:color="auto"/>
              <w:left w:val="single" w:sz="4" w:space="0" w:color="auto"/>
              <w:right w:val="single" w:sz="4" w:space="0" w:color="auto"/>
            </w:tcBorders>
            <w:noWrap/>
          </w:tcPr>
          <w:p>
            <w:pPr>
              <w:pStyle w:val="86"/>
            </w:pPr>
            <w:r>
              <w:t>水产品的食用一般需经加热熟制，食用方式不当存在一定风险，尤其是即食生制的冰鲜水产品的风险较高。</w:t>
            </w:r>
          </w:p>
        </w:tc>
        <w:tc>
          <w:tcPr>
            <w:tcW w:w="1477" w:type="dxa"/>
            <w:noWrap/>
          </w:tcPr>
          <w:p>
            <w:pPr>
              <w:pStyle w:val="85"/>
            </w:pPr>
            <w:r>
              <w:t>水产品生产企业注册是国际通行做法，目前中国签订的相关双边议定书中，均已明确需境外官方需推荐符合中方要求的企业在华注册。</w:t>
            </w:r>
          </w:p>
        </w:tc>
      </w:tr>
    </w:tbl>
    <w:p>
      <w:pPr>
        <w:rPr>
          <w:rFonts w:ascii="方正仿宋_GBK" w:eastAsia="方正仿宋_GBK"/>
          <w:sz w:val="32"/>
          <w:szCs w:val="32"/>
        </w:rPr>
      </w:pPr>
    </w:p>
    <w:p>
      <w:pPr>
        <w:rPr>
          <w:rFonts w:ascii="方正仿宋_GBK" w:eastAsia="方正仿宋_GBK" w:hint="eastAsia"/>
          <w:sz w:val="32"/>
          <w:szCs w:val="32"/>
        </w:rPr>
      </w:pPr>
    </w:p>
    <w:sectPr>
      <w:pgSz w:w="16840" w:h="11907" w:orient="landscape"/>
      <w:pgMar w:top="1797" w:right="1440" w:bottom="1797"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方正黑体_GBK">
    <w:panose1 w:val="02000000000000000000"/>
    <w:charset w:val="86"/>
    <w:family w:val="script"/>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Lucida Sans">
    <w:altName w:val="DejaVu Sans"/>
    <w:panose1 w:val="020B0602030504020204"/>
    <w:charset w:val="00"/>
    <w:family w:val="auto"/>
    <w:pitch w:val="variable"/>
    <w:sig w:usb0="00000003" w:usb1="00000000" w:usb2="00000000" w:usb3="00000000" w:csb0="20000001" w:csb1="00000000"/>
  </w:font>
  <w:font w:name="宋体">
    <w:altName w:val="华文宋体"/>
    <w:panose1 w:val="02010600030101010101"/>
    <w:charset w:val="86"/>
    <w:family w:val="auto"/>
    <w:pitch w:val="variable"/>
    <w:sig w:usb0="00000003" w:usb1="080E0000" w:usb2="00000000"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
    <w:name w:val="样式 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
    <w:name w:val="样式 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
    <w:name w:val="样式 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9">
    <w:name w:val="样式 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
    <w:name w:val="样式 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1">
    <w:name w:val="样式 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
    <w:name w:val="样式 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3">
    <w:name w:val="样式 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4">
    <w:name w:val="样式 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5">
    <w:name w:val="样式 1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6">
    <w:name w:val="样式 1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7">
    <w:name w:val="样式 1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8">
    <w:name w:val="样式 1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9">
    <w:name w:val="样式 1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0">
    <w:name w:val="样式 1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1">
    <w:name w:val="样式 1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2">
    <w:name w:val="样式 1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3">
    <w:name w:val="样式 1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4">
    <w:name w:val="样式 1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5">
    <w:name w:val="样式 2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6">
    <w:name w:val="样式 2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7">
    <w:name w:val="样式 2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8">
    <w:name w:val="样式 2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39">
    <w:name w:val="样式 2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0">
    <w:name w:val="样式 2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1">
    <w:name w:val="样式 2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2">
    <w:name w:val="样式 2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3">
    <w:name w:val="样式 2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4">
    <w:name w:val="样式 2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5">
    <w:name w:val="样式 3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6">
    <w:name w:val="样式 3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7">
    <w:name w:val="样式 3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8">
    <w:name w:val="样式 3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49">
    <w:name w:val="样式 3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0">
    <w:name w:val="样式 3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1">
    <w:name w:val="样式 3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2">
    <w:name w:val="样式 3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3">
    <w:name w:val="样式 3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4">
    <w:name w:val="样式 3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5">
    <w:name w:val="样式 4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6">
    <w:name w:val="样式 4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7">
    <w:name w:val="样式 4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8">
    <w:name w:val="样式 4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59">
    <w:name w:val="样式 4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0">
    <w:name w:val="样式 4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1">
    <w:name w:val="样式 4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2">
    <w:name w:val="样式 4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3">
    <w:name w:val="样式 4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4">
    <w:name w:val="样式 4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5">
    <w:name w:val="样式 5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6">
    <w:name w:val="样式 5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7">
    <w:name w:val="样式 5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8">
    <w:name w:val="样式 5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69">
    <w:name w:val="样式 5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0">
    <w:name w:val="样式 5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1">
    <w:name w:val="样式 5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2">
    <w:name w:val="样式 5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3">
    <w:name w:val="样式 5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4">
    <w:name w:val="样式 5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5">
    <w:name w:val="样式 6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6">
    <w:name w:val="样式 6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7">
    <w:name w:val="样式 6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8">
    <w:name w:val="样式 6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79">
    <w:name w:val="样式 6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0">
    <w:name w:val="样式 6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1">
    <w:name w:val="样式 6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2">
    <w:name w:val="样式 6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3">
    <w:name w:val="样式 6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4">
    <w:name w:val="样式 6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5">
    <w:name w:val="样式 7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6">
    <w:name w:val="样式 7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7">
    <w:name w:val="样式 7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8">
    <w:name w:val="样式 7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89">
    <w:name w:val="样式 7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0">
    <w:name w:val="样式 7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1">
    <w:name w:val="样式 7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2">
    <w:name w:val="样式 7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3">
    <w:name w:val="样式 7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4">
    <w:name w:val="样式 7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5">
    <w:name w:val="样式 8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6">
    <w:name w:val="样式 8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7">
    <w:name w:val="样式 8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8">
    <w:name w:val="样式 8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99">
    <w:name w:val="样式 8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00">
    <w:name w:val="样式 8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01">
    <w:name w:val="样式 8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02">
    <w:name w:val="样式 8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03">
    <w:name w:val="样式 8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04">
    <w:name w:val="样式 8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05">
    <w:name w:val="样式 9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06">
    <w:name w:val="样式 9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07">
    <w:name w:val="样式 9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08">
    <w:name w:val="样式 9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09">
    <w:name w:val="样式 9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0">
    <w:name w:val="样式 9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1">
    <w:name w:val="样式 9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2">
    <w:name w:val="样式 9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3">
    <w:name w:val="样式 9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4">
    <w:name w:val="样式 9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5">
    <w:name w:val="样式 10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6">
    <w:name w:val="样式 10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7">
    <w:name w:val="样式 10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8">
    <w:name w:val="样式 10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19">
    <w:name w:val="样式 10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0">
    <w:name w:val="样式 10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1">
    <w:name w:val="样式 10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2">
    <w:name w:val="样式 10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3">
    <w:name w:val="样式 10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4">
    <w:name w:val="样式 10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5">
    <w:name w:val="样式 11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6">
    <w:name w:val="样式 11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7">
    <w:name w:val="样式 11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8">
    <w:name w:val="样式 11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29">
    <w:name w:val="样式 11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0">
    <w:name w:val="样式 11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1">
    <w:name w:val="样式 11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2">
    <w:name w:val="样式 11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3">
    <w:name w:val="样式 11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4">
    <w:name w:val="样式 11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5">
    <w:name w:val="样式 12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6">
    <w:name w:val="样式 12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7">
    <w:name w:val="样式 12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8">
    <w:name w:val="样式 12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39">
    <w:name w:val="样式 12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0">
    <w:name w:val="样式 12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1">
    <w:name w:val="样式 12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2">
    <w:name w:val="样式 12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3">
    <w:name w:val="样式 12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4">
    <w:name w:val="样式 12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5">
    <w:name w:val="样式 13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6">
    <w:name w:val="样式 13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7">
    <w:name w:val="样式 13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8">
    <w:name w:val="样式 13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49">
    <w:name w:val="样式 13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0">
    <w:name w:val="样式 13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1">
    <w:name w:val="样式 13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2">
    <w:name w:val="样式 13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3">
    <w:name w:val="样式 13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4">
    <w:name w:val="样式 13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5">
    <w:name w:val="样式 14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6">
    <w:name w:val="样式 14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7">
    <w:name w:val="样式 14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8">
    <w:name w:val="样式 14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59">
    <w:name w:val="样式 14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0">
    <w:name w:val="样式 14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1">
    <w:name w:val="样式 14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2">
    <w:name w:val="样式 14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3">
    <w:name w:val="样式 14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4">
    <w:name w:val="样式 14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5">
    <w:name w:val="样式 15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6">
    <w:name w:val="样式 15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7">
    <w:name w:val="样式 15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8">
    <w:name w:val="样式 15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9">
    <w:name w:val="样式 15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0">
    <w:name w:val="样式 15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1">
    <w:name w:val="样式 15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2">
    <w:name w:val="样式 15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3">
    <w:name w:val="样式 15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4">
    <w:name w:val="样式 15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5">
    <w:name w:val="样式 16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6">
    <w:name w:val="样式 16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7">
    <w:name w:val="样式 16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8">
    <w:name w:val="样式 16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9">
    <w:name w:val="样式 16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0">
    <w:name w:val="样式 16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1">
    <w:name w:val="样式 166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2">
    <w:name w:val="样式 167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3">
    <w:name w:val="样式 168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4">
    <w:name w:val="样式 169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5">
    <w:name w:val="样式 170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6">
    <w:name w:val="样式 171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7">
    <w:name w:val="样式 172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88">
    <w:name w:val="样式 173 10 磅"/>
    <w:pPr>
      <w:widowControl w:val="0"/>
      <w:spacing w:line="240" w:lineRule="auto"/>
      <w:jc w:val="both"/>
    </w:pPr>
    <w:rPr>
      <w:rFonts w:ascii="Times New Roman" w:eastAsia="宋体" w:cs="Times New Roman" w:hAnsi="Times New Roman"/>
      <w:kern w:val="2"/>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1303</TotalTime>
  <Application>Yozo_Office</Application>
  <Pages>1</Pages>
  <Words>30</Words>
  <Characters>30</Characters>
  <Lines>3</Lines>
  <Paragraphs>5</Paragraphs>
  <CharactersWithSpaces>30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赵怡芳</dc:creator>
  <cp:lastModifiedBy>刘欣棉（外部)</cp:lastModifiedBy>
  <cp:revision>1</cp:revision>
  <dcterms:created xsi:type="dcterms:W3CDTF">2024-12-19T08:28:48Z</dcterms:created>
  <dcterms:modified xsi:type="dcterms:W3CDTF">2025-01-03T00:57:15Z</dcterms:modified>
</cp:coreProperties>
</file>